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307" w:rsidRDefault="00377142" w:rsidP="003E2307">
      <w:pPr>
        <w:pStyle w:val="AECletterbody"/>
        <w:rPr>
          <w:rFonts w:ascii="Arial" w:hAnsi="Arial" w:cs="Arial"/>
          <w:sz w:val="20"/>
          <w:szCs w:val="20"/>
          <w:lang w:val="en-AU"/>
        </w:rPr>
      </w:pPr>
      <w:r w:rsidRPr="003E2307">
        <w:rPr>
          <w:rFonts w:ascii="Arial" w:hAnsi="Arial" w:cs="Arial"/>
          <w:sz w:val="20"/>
          <w:szCs w:val="20"/>
          <w:lang w:val="en-AU"/>
        </w:rPr>
        <w:t>17 April</w:t>
      </w:r>
      <w:r w:rsidR="009434AC" w:rsidRPr="003E2307">
        <w:rPr>
          <w:rFonts w:ascii="Arial" w:hAnsi="Arial" w:cs="Arial"/>
          <w:sz w:val="20"/>
          <w:szCs w:val="20"/>
          <w:lang w:val="en-AU"/>
        </w:rPr>
        <w:t xml:space="preserve"> 2018</w:t>
      </w:r>
    </w:p>
    <w:p w:rsidR="007604D2" w:rsidRPr="003E2307" w:rsidRDefault="007604D2" w:rsidP="003E2307">
      <w:pPr>
        <w:pStyle w:val="AECletterbody"/>
        <w:rPr>
          <w:rFonts w:ascii="Arial" w:hAnsi="Arial" w:cs="Arial"/>
          <w:sz w:val="20"/>
          <w:szCs w:val="20"/>
          <w:lang w:val="en-AU"/>
        </w:rPr>
      </w:pPr>
    </w:p>
    <w:p w:rsidR="003E2307" w:rsidRPr="003E2307" w:rsidRDefault="003E2307" w:rsidP="003E2307">
      <w:pPr>
        <w:autoSpaceDE w:val="0"/>
        <w:autoSpaceDN w:val="0"/>
        <w:adjustRightInd w:val="0"/>
        <w:spacing w:after="0"/>
        <w:rPr>
          <w:rFonts w:ascii="Arial" w:hAnsi="Arial" w:cs="Arial"/>
          <w:color w:val="000000"/>
          <w:sz w:val="20"/>
          <w:szCs w:val="20"/>
          <w:lang w:eastAsia="en-AU"/>
        </w:rPr>
      </w:pPr>
      <w:r w:rsidRPr="003E2307">
        <w:rPr>
          <w:rFonts w:ascii="Arial" w:hAnsi="Arial" w:cs="Arial"/>
          <w:color w:val="000000"/>
          <w:sz w:val="20"/>
          <w:szCs w:val="20"/>
          <w:lang w:eastAsia="en-AU"/>
        </w:rPr>
        <w:t xml:space="preserve">Australian Energy Market Commission </w:t>
      </w:r>
    </w:p>
    <w:p w:rsidR="003E2307" w:rsidRPr="003E2307" w:rsidRDefault="003E2307" w:rsidP="003E2307">
      <w:pPr>
        <w:autoSpaceDE w:val="0"/>
        <w:autoSpaceDN w:val="0"/>
        <w:adjustRightInd w:val="0"/>
        <w:spacing w:after="0"/>
        <w:rPr>
          <w:rFonts w:ascii="Arial" w:hAnsi="Arial" w:cs="Arial"/>
          <w:color w:val="000000"/>
          <w:sz w:val="20"/>
          <w:szCs w:val="20"/>
          <w:lang w:eastAsia="en-AU"/>
        </w:rPr>
      </w:pPr>
      <w:r w:rsidRPr="003E2307">
        <w:rPr>
          <w:rFonts w:ascii="Arial" w:hAnsi="Arial" w:cs="Arial"/>
          <w:color w:val="000000"/>
          <w:sz w:val="20"/>
          <w:szCs w:val="20"/>
          <w:lang w:eastAsia="en-AU"/>
        </w:rPr>
        <w:t xml:space="preserve">PO Box A2449 </w:t>
      </w:r>
    </w:p>
    <w:p w:rsidR="00C72CEA" w:rsidRDefault="003E2307" w:rsidP="003E2307">
      <w:pPr>
        <w:pStyle w:val="AECAddresslines"/>
        <w:rPr>
          <w:rFonts w:ascii="Arial" w:hAnsi="Arial" w:cs="Arial"/>
          <w:lang w:val="en-AU" w:eastAsia="en-AU"/>
        </w:rPr>
      </w:pPr>
      <w:r w:rsidRPr="003E2307">
        <w:rPr>
          <w:rFonts w:ascii="Arial" w:hAnsi="Arial" w:cs="Arial"/>
          <w:lang w:val="en-AU" w:eastAsia="en-AU"/>
        </w:rPr>
        <w:t>SYDNEY SOUTH NSW 1235</w:t>
      </w:r>
    </w:p>
    <w:p w:rsidR="003E2307" w:rsidRDefault="003E2307" w:rsidP="003E2307">
      <w:pPr>
        <w:pStyle w:val="AECAddresslines"/>
        <w:rPr>
          <w:rFonts w:ascii="Arial" w:hAnsi="Arial" w:cs="Arial"/>
          <w:lang w:val="en-AU"/>
        </w:rPr>
      </w:pPr>
    </w:p>
    <w:p w:rsidR="003E2307" w:rsidRPr="00CE17C1" w:rsidRDefault="003E2307" w:rsidP="003E2307">
      <w:pPr>
        <w:pStyle w:val="AECAddresslines"/>
        <w:rPr>
          <w:rFonts w:ascii="Arial" w:hAnsi="Arial" w:cs="Arial"/>
          <w:lang w:val="en-AU"/>
        </w:rPr>
      </w:pPr>
      <w:r w:rsidRPr="00CE17C1">
        <w:rPr>
          <w:rFonts w:ascii="Arial" w:hAnsi="Arial" w:cs="Arial"/>
          <w:lang w:val="en-AU"/>
        </w:rPr>
        <w:t xml:space="preserve">Your </w:t>
      </w:r>
      <w:r w:rsidR="007604D2" w:rsidRPr="00CE17C1">
        <w:rPr>
          <w:rFonts w:ascii="Arial" w:hAnsi="Arial" w:cs="Arial"/>
          <w:lang w:val="en-AU"/>
        </w:rPr>
        <w:t xml:space="preserve">reference </w:t>
      </w:r>
      <w:r w:rsidR="007604D2" w:rsidRPr="00CE17C1">
        <w:t>RRC0012</w:t>
      </w:r>
    </w:p>
    <w:p w:rsidR="007604D2" w:rsidRDefault="007604D2" w:rsidP="00377142">
      <w:pPr>
        <w:pStyle w:val="AECAddresslines"/>
        <w:rPr>
          <w:rFonts w:ascii="Arial" w:hAnsi="Arial" w:cs="Arial"/>
          <w:lang w:val="en-AU"/>
        </w:rPr>
      </w:pPr>
    </w:p>
    <w:p w:rsidR="007604D2" w:rsidRDefault="00AF57A5" w:rsidP="00377142">
      <w:pPr>
        <w:pStyle w:val="AECAddresslines"/>
        <w:rPr>
          <w:rFonts w:ascii="Arial" w:hAnsi="Arial" w:cs="Arial"/>
          <w:lang w:val="en-AU"/>
        </w:rPr>
      </w:pPr>
      <w:r>
        <w:rPr>
          <w:rFonts w:ascii="Arial" w:hAnsi="Arial" w:cs="Arial"/>
          <w:lang w:val="en-AU"/>
        </w:rPr>
        <w:t xml:space="preserve">Submitted online: </w:t>
      </w:r>
      <w:hyperlink r:id="rId8" w:history="1">
        <w:r w:rsidR="007604D2" w:rsidRPr="00983DFF">
          <w:rPr>
            <w:rStyle w:val="Hyperlink"/>
            <w:rFonts w:ascii="Arial" w:hAnsi="Arial" w:cs="Arial"/>
            <w:lang w:val="en-AU"/>
          </w:rPr>
          <w:t>https://www.aemc.gov.au/</w:t>
        </w:r>
      </w:hyperlink>
    </w:p>
    <w:p w:rsidR="007604D2" w:rsidRDefault="007604D2" w:rsidP="00377142">
      <w:pPr>
        <w:pStyle w:val="AECAddresslines"/>
        <w:rPr>
          <w:rFonts w:ascii="Arial" w:hAnsi="Arial" w:cs="Arial"/>
          <w:lang w:val="en-AU"/>
        </w:rPr>
      </w:pPr>
    </w:p>
    <w:p w:rsidR="007604D2" w:rsidRDefault="007604D2" w:rsidP="00377142">
      <w:pPr>
        <w:pStyle w:val="AECAddresslines"/>
        <w:rPr>
          <w:rFonts w:ascii="Arial" w:hAnsi="Arial" w:cs="Arial"/>
          <w:lang w:val="en-AU"/>
        </w:rPr>
      </w:pPr>
    </w:p>
    <w:p w:rsidR="007604D2" w:rsidRDefault="007604D2" w:rsidP="00377142">
      <w:pPr>
        <w:pStyle w:val="AECAddresslines"/>
        <w:rPr>
          <w:rFonts w:ascii="Arial" w:hAnsi="Arial" w:cs="Arial"/>
          <w:lang w:val="en-AU"/>
        </w:rPr>
      </w:pPr>
    </w:p>
    <w:p w:rsidR="00377142" w:rsidRPr="0072480E" w:rsidRDefault="00377142" w:rsidP="00377142">
      <w:pPr>
        <w:pStyle w:val="AECAddresslines"/>
        <w:rPr>
          <w:rFonts w:ascii="Arial" w:hAnsi="Arial" w:cs="Arial"/>
          <w:lang w:val="en-AU"/>
        </w:rPr>
      </w:pPr>
    </w:p>
    <w:p w:rsidR="001B1F29" w:rsidRPr="0072480E" w:rsidRDefault="00384E88" w:rsidP="001B1F29">
      <w:pPr>
        <w:pStyle w:val="AECletterbody"/>
        <w:jc w:val="center"/>
        <w:rPr>
          <w:rFonts w:ascii="Arial" w:hAnsi="Arial" w:cs="Arial"/>
          <w:b/>
          <w:sz w:val="20"/>
          <w:szCs w:val="20"/>
          <w:lang w:val="en-AU"/>
        </w:rPr>
      </w:pPr>
      <w:r>
        <w:rPr>
          <w:rFonts w:ascii="Arial" w:hAnsi="Arial" w:cs="Arial"/>
          <w:b/>
          <w:sz w:val="20"/>
          <w:szCs w:val="20"/>
          <w:lang w:val="en-AU"/>
        </w:rPr>
        <w:t xml:space="preserve">National </w:t>
      </w:r>
      <w:r w:rsidR="00377142">
        <w:rPr>
          <w:rFonts w:ascii="Arial" w:hAnsi="Arial" w:cs="Arial"/>
          <w:b/>
          <w:sz w:val="20"/>
          <w:szCs w:val="20"/>
          <w:lang w:val="en-AU"/>
        </w:rPr>
        <w:t>Energy Retail Amendment</w:t>
      </w:r>
      <w:r>
        <w:rPr>
          <w:rFonts w:ascii="Arial" w:hAnsi="Arial" w:cs="Arial"/>
          <w:b/>
          <w:sz w:val="20"/>
          <w:szCs w:val="20"/>
          <w:lang w:val="en-AU"/>
        </w:rPr>
        <w:t xml:space="preserve"> </w:t>
      </w:r>
      <w:r w:rsidR="009434AC">
        <w:rPr>
          <w:rFonts w:ascii="Arial" w:hAnsi="Arial" w:cs="Arial"/>
          <w:b/>
          <w:sz w:val="20"/>
          <w:szCs w:val="20"/>
          <w:lang w:val="en-AU"/>
        </w:rPr>
        <w:t>–</w:t>
      </w:r>
      <w:r w:rsidR="00377142">
        <w:rPr>
          <w:rFonts w:ascii="Arial" w:hAnsi="Arial" w:cs="Arial"/>
          <w:b/>
          <w:sz w:val="20"/>
          <w:szCs w:val="20"/>
          <w:lang w:val="en-AU"/>
        </w:rPr>
        <w:t xml:space="preserve"> Preventing discounts on inflated energy rates (RRC0012) </w:t>
      </w:r>
    </w:p>
    <w:p w:rsidR="00377142" w:rsidRDefault="00471E9F" w:rsidP="00471E9F">
      <w:pPr>
        <w:pStyle w:val="AECletterbody"/>
        <w:jc w:val="both"/>
        <w:rPr>
          <w:rFonts w:ascii="Arial" w:hAnsi="Arial" w:cs="Arial"/>
          <w:sz w:val="20"/>
          <w:szCs w:val="20"/>
          <w:lang w:val="en-AU"/>
        </w:rPr>
      </w:pPr>
      <w:r w:rsidRPr="0072480E">
        <w:rPr>
          <w:rFonts w:ascii="Arial" w:hAnsi="Arial" w:cs="Arial"/>
          <w:sz w:val="20"/>
          <w:szCs w:val="20"/>
          <w:lang w:val="en-AU"/>
        </w:rPr>
        <w:t>The Australian Energy Council</w:t>
      </w:r>
      <w:r w:rsidR="00652119" w:rsidRPr="0072480E">
        <w:rPr>
          <w:rFonts w:ascii="Arial" w:hAnsi="Arial" w:cs="Arial"/>
          <w:sz w:val="20"/>
          <w:szCs w:val="20"/>
          <w:lang w:val="en-AU"/>
        </w:rPr>
        <w:t xml:space="preserve"> (the </w:t>
      </w:r>
      <w:r w:rsidR="00A92EF0">
        <w:rPr>
          <w:rFonts w:ascii="Arial" w:hAnsi="Arial" w:cs="Arial"/>
          <w:sz w:val="20"/>
          <w:szCs w:val="20"/>
          <w:lang w:val="en-AU"/>
        </w:rPr>
        <w:t>AEC</w:t>
      </w:r>
      <w:r w:rsidR="00652119" w:rsidRPr="0072480E">
        <w:rPr>
          <w:rFonts w:ascii="Arial" w:hAnsi="Arial" w:cs="Arial"/>
          <w:sz w:val="20"/>
          <w:szCs w:val="20"/>
          <w:lang w:val="en-AU"/>
        </w:rPr>
        <w:t>)</w:t>
      </w:r>
      <w:r w:rsidRPr="0072480E">
        <w:rPr>
          <w:rFonts w:ascii="Arial" w:hAnsi="Arial" w:cs="Arial"/>
          <w:sz w:val="20"/>
          <w:szCs w:val="20"/>
          <w:lang w:val="en-AU"/>
        </w:rPr>
        <w:t xml:space="preserve"> </w:t>
      </w:r>
      <w:r w:rsidR="00377142">
        <w:rPr>
          <w:rFonts w:ascii="Arial" w:hAnsi="Arial" w:cs="Arial"/>
          <w:sz w:val="20"/>
          <w:szCs w:val="20"/>
          <w:lang w:val="en-AU"/>
        </w:rPr>
        <w:t>welcomes the opportunity</w:t>
      </w:r>
      <w:r w:rsidR="00CC3820" w:rsidRPr="0072480E">
        <w:rPr>
          <w:rFonts w:ascii="Arial" w:hAnsi="Arial" w:cs="Arial"/>
          <w:sz w:val="20"/>
          <w:szCs w:val="20"/>
          <w:lang w:val="en-AU"/>
        </w:rPr>
        <w:t xml:space="preserve"> to make a submission </w:t>
      </w:r>
      <w:r w:rsidR="00377142">
        <w:rPr>
          <w:rFonts w:ascii="Arial" w:hAnsi="Arial" w:cs="Arial"/>
          <w:sz w:val="20"/>
          <w:szCs w:val="20"/>
          <w:lang w:val="en-AU"/>
        </w:rPr>
        <w:t xml:space="preserve">on the National Energy Retail Amendment (Preventing discounts on inflated energy rates) Rule 2018. </w:t>
      </w:r>
    </w:p>
    <w:p w:rsidR="001B1F29" w:rsidRDefault="00471E9F" w:rsidP="00471E9F">
      <w:pPr>
        <w:pStyle w:val="AECletterbody"/>
        <w:jc w:val="both"/>
        <w:rPr>
          <w:rFonts w:ascii="Arial" w:hAnsi="Arial" w:cs="Arial"/>
          <w:sz w:val="20"/>
          <w:szCs w:val="20"/>
          <w:lang w:val="en-AU"/>
        </w:rPr>
      </w:pPr>
      <w:r w:rsidRPr="0072480E">
        <w:rPr>
          <w:rFonts w:ascii="Arial" w:hAnsi="Arial" w:cs="Arial"/>
          <w:sz w:val="20"/>
          <w:szCs w:val="20"/>
          <w:lang w:val="en-AU"/>
        </w:rPr>
        <w:t xml:space="preserve">The </w:t>
      </w:r>
      <w:r w:rsidR="00A92EF0">
        <w:rPr>
          <w:rFonts w:ascii="Arial" w:hAnsi="Arial" w:cs="Arial"/>
          <w:sz w:val="20"/>
          <w:szCs w:val="20"/>
          <w:lang w:val="en-AU"/>
        </w:rPr>
        <w:t>AEC</w:t>
      </w:r>
      <w:r w:rsidRPr="0072480E">
        <w:rPr>
          <w:rFonts w:ascii="Arial" w:hAnsi="Arial" w:cs="Arial"/>
          <w:sz w:val="20"/>
          <w:szCs w:val="20"/>
          <w:lang w:val="en-AU"/>
        </w:rPr>
        <w:t xml:space="preserve"> is the industry body representing 2</w:t>
      </w:r>
      <w:r w:rsidR="00AD3299" w:rsidRPr="0072480E">
        <w:rPr>
          <w:rFonts w:ascii="Arial" w:hAnsi="Arial" w:cs="Arial"/>
          <w:sz w:val="20"/>
          <w:szCs w:val="20"/>
          <w:lang w:val="en-AU"/>
        </w:rPr>
        <w:t>1</w:t>
      </w:r>
      <w:r w:rsidRPr="0072480E">
        <w:rPr>
          <w:rFonts w:ascii="Arial" w:hAnsi="Arial" w:cs="Arial"/>
          <w:sz w:val="20"/>
          <w:szCs w:val="20"/>
          <w:lang w:val="en-AU"/>
        </w:rPr>
        <w:t xml:space="preserve"> electricity and downstream natural gas businesses operating in the competitive wholesale and retail energy markets. These businesses collectively generate the overwhelming majority of electricity in Australia and sell gas and electricity to over 10 million homes and businesses.</w:t>
      </w:r>
      <w:r w:rsidR="000E70FA" w:rsidRPr="000E70FA">
        <w:rPr>
          <w:rFonts w:ascii="Arial" w:hAnsi="Arial" w:cs="Arial"/>
          <w:sz w:val="20"/>
          <w:szCs w:val="20"/>
          <w:lang w:val="en-AU"/>
        </w:rPr>
        <w:t xml:space="preserve"> </w:t>
      </w:r>
      <w:r w:rsidR="000E70FA">
        <w:rPr>
          <w:rFonts w:ascii="Arial" w:hAnsi="Arial" w:cs="Arial"/>
          <w:sz w:val="20"/>
          <w:szCs w:val="20"/>
          <w:lang w:val="en-AU"/>
        </w:rPr>
        <w:t xml:space="preserve">The </w:t>
      </w:r>
      <w:r w:rsidR="00A92EF0">
        <w:rPr>
          <w:rFonts w:ascii="Arial" w:hAnsi="Arial" w:cs="Arial"/>
          <w:sz w:val="20"/>
          <w:szCs w:val="20"/>
          <w:lang w:val="en-AU"/>
        </w:rPr>
        <w:t>AEC</w:t>
      </w:r>
      <w:r w:rsidR="000E70FA">
        <w:rPr>
          <w:rFonts w:ascii="Arial" w:hAnsi="Arial" w:cs="Arial"/>
          <w:sz w:val="20"/>
          <w:szCs w:val="20"/>
          <w:lang w:val="en-AU"/>
        </w:rPr>
        <w:t xml:space="preserve"> has a number of </w:t>
      </w:r>
      <w:r w:rsidR="002A409B">
        <w:rPr>
          <w:rFonts w:ascii="Arial" w:hAnsi="Arial" w:cs="Arial"/>
          <w:sz w:val="20"/>
          <w:szCs w:val="20"/>
          <w:lang w:val="en-AU"/>
        </w:rPr>
        <w:t>members who</w:t>
      </w:r>
      <w:r w:rsidR="000E70FA">
        <w:rPr>
          <w:rFonts w:ascii="Arial" w:hAnsi="Arial" w:cs="Arial"/>
          <w:sz w:val="20"/>
          <w:szCs w:val="20"/>
          <w:lang w:val="en-AU"/>
        </w:rPr>
        <w:t xml:space="preserve"> will contribute their own submissions</w:t>
      </w:r>
      <w:r w:rsidR="00377142">
        <w:rPr>
          <w:rFonts w:ascii="Arial" w:hAnsi="Arial" w:cs="Arial"/>
          <w:sz w:val="20"/>
          <w:szCs w:val="20"/>
          <w:lang w:val="en-AU"/>
        </w:rPr>
        <w:t xml:space="preserve"> on this rule change proposal. </w:t>
      </w:r>
    </w:p>
    <w:p w:rsidR="00B5201B" w:rsidRDefault="00377142" w:rsidP="00471E9F">
      <w:pPr>
        <w:pStyle w:val="AECletterbody"/>
        <w:jc w:val="both"/>
        <w:rPr>
          <w:rFonts w:ascii="Arial" w:hAnsi="Arial" w:cs="Arial"/>
          <w:sz w:val="20"/>
          <w:szCs w:val="20"/>
          <w:lang w:val="en-AU"/>
        </w:rPr>
      </w:pPr>
      <w:r>
        <w:rPr>
          <w:rFonts w:ascii="Arial" w:hAnsi="Arial" w:cs="Arial"/>
          <w:sz w:val="20"/>
          <w:szCs w:val="20"/>
          <w:lang w:val="en-AU"/>
        </w:rPr>
        <w:t xml:space="preserve">The </w:t>
      </w:r>
      <w:r w:rsidR="00A92EF0">
        <w:rPr>
          <w:rFonts w:ascii="Arial" w:hAnsi="Arial" w:cs="Arial"/>
          <w:sz w:val="20"/>
          <w:szCs w:val="20"/>
          <w:lang w:val="en-AU"/>
        </w:rPr>
        <w:t>AEC</w:t>
      </w:r>
      <w:r>
        <w:rPr>
          <w:rFonts w:ascii="Arial" w:hAnsi="Arial" w:cs="Arial"/>
          <w:sz w:val="20"/>
          <w:szCs w:val="20"/>
          <w:lang w:val="en-AU"/>
        </w:rPr>
        <w:t xml:space="preserve"> supports the Commission’s approach to amending the National Energy Retail Rules </w:t>
      </w:r>
      <w:r w:rsidR="00002F01">
        <w:rPr>
          <w:rFonts w:ascii="Arial" w:hAnsi="Arial" w:cs="Arial"/>
          <w:sz w:val="20"/>
          <w:szCs w:val="20"/>
          <w:lang w:val="en-AU"/>
        </w:rPr>
        <w:t xml:space="preserve">(NERR) </w:t>
      </w:r>
      <w:r>
        <w:rPr>
          <w:rFonts w:ascii="Arial" w:hAnsi="Arial" w:cs="Arial"/>
          <w:sz w:val="20"/>
          <w:szCs w:val="20"/>
          <w:lang w:val="en-AU"/>
        </w:rPr>
        <w:t>as set out in the indicative drafting (</w:t>
      </w:r>
      <w:proofErr w:type="spellStart"/>
      <w:r>
        <w:rPr>
          <w:rFonts w:ascii="Arial" w:hAnsi="Arial" w:cs="Arial"/>
          <w:sz w:val="20"/>
          <w:szCs w:val="20"/>
          <w:lang w:val="en-AU"/>
        </w:rPr>
        <w:t>ie</w:t>
      </w:r>
      <w:proofErr w:type="spellEnd"/>
      <w:r>
        <w:rPr>
          <w:rFonts w:ascii="Arial" w:hAnsi="Arial" w:cs="Arial"/>
          <w:sz w:val="20"/>
          <w:szCs w:val="20"/>
          <w:lang w:val="en-AU"/>
        </w:rPr>
        <w:t xml:space="preserve">, part two of the initial position), subject to our comments </w:t>
      </w:r>
      <w:r w:rsidR="00F96377">
        <w:rPr>
          <w:rFonts w:ascii="Arial" w:hAnsi="Arial" w:cs="Arial"/>
          <w:sz w:val="20"/>
          <w:szCs w:val="20"/>
          <w:lang w:val="en-AU"/>
        </w:rPr>
        <w:t xml:space="preserve">below. Applying discounts on market contracts with base prices in all respects </w:t>
      </w:r>
      <w:r w:rsidR="00535601">
        <w:rPr>
          <w:rFonts w:ascii="Arial" w:hAnsi="Arial" w:cs="Arial"/>
          <w:sz w:val="20"/>
          <w:szCs w:val="20"/>
          <w:lang w:val="en-AU"/>
        </w:rPr>
        <w:t>higher than all</w:t>
      </w:r>
      <w:r w:rsidR="00F96377">
        <w:rPr>
          <w:rFonts w:ascii="Arial" w:hAnsi="Arial" w:cs="Arial"/>
          <w:sz w:val="20"/>
          <w:szCs w:val="20"/>
          <w:lang w:val="en-AU"/>
        </w:rPr>
        <w:t xml:space="preserve"> equ</w:t>
      </w:r>
      <w:r w:rsidR="00B5201B">
        <w:rPr>
          <w:rFonts w:ascii="Arial" w:hAnsi="Arial" w:cs="Arial"/>
          <w:sz w:val="20"/>
          <w:szCs w:val="20"/>
          <w:lang w:val="en-AU"/>
        </w:rPr>
        <w:t>ivalent standing offer prices creates a high risk of customer confusion</w:t>
      </w:r>
      <w:r w:rsidR="00F96377">
        <w:rPr>
          <w:rFonts w:ascii="Arial" w:hAnsi="Arial" w:cs="Arial"/>
          <w:sz w:val="20"/>
          <w:szCs w:val="20"/>
          <w:lang w:val="en-AU"/>
        </w:rPr>
        <w:t xml:space="preserve">. </w:t>
      </w:r>
      <w:r w:rsidR="00532263">
        <w:rPr>
          <w:rFonts w:ascii="Arial" w:hAnsi="Arial" w:cs="Arial"/>
          <w:sz w:val="20"/>
          <w:szCs w:val="20"/>
          <w:lang w:val="en-AU"/>
        </w:rPr>
        <w:t xml:space="preserve">Our comments on the key issues which arise in the consultation paper are set out below. </w:t>
      </w:r>
    </w:p>
    <w:p w:rsidR="00A92EF0" w:rsidRDefault="00A92EF0" w:rsidP="00532263">
      <w:pPr>
        <w:pStyle w:val="AECletterbody"/>
        <w:jc w:val="both"/>
        <w:rPr>
          <w:rFonts w:ascii="Arial" w:hAnsi="Arial" w:cs="Arial"/>
          <w:sz w:val="20"/>
          <w:szCs w:val="20"/>
          <w:lang w:val="en-AU"/>
        </w:rPr>
      </w:pPr>
      <w:r>
        <w:rPr>
          <w:rFonts w:ascii="Arial" w:hAnsi="Arial" w:cs="Arial"/>
          <w:sz w:val="20"/>
          <w:szCs w:val="20"/>
          <w:lang w:val="en-AU"/>
        </w:rPr>
        <w:t>We are,</w:t>
      </w:r>
      <w:r w:rsidR="00002F01">
        <w:rPr>
          <w:rFonts w:ascii="Arial" w:hAnsi="Arial" w:cs="Arial"/>
          <w:sz w:val="20"/>
          <w:szCs w:val="20"/>
          <w:lang w:val="en-AU"/>
        </w:rPr>
        <w:t xml:space="preserve"> however</w:t>
      </w:r>
      <w:r>
        <w:rPr>
          <w:rFonts w:ascii="Arial" w:hAnsi="Arial" w:cs="Arial"/>
          <w:sz w:val="20"/>
          <w:szCs w:val="20"/>
          <w:lang w:val="en-AU"/>
        </w:rPr>
        <w:t>,</w:t>
      </w:r>
      <w:r w:rsidR="00002F01">
        <w:rPr>
          <w:rFonts w:ascii="Arial" w:hAnsi="Arial" w:cs="Arial"/>
          <w:sz w:val="20"/>
          <w:szCs w:val="20"/>
          <w:lang w:val="en-AU"/>
        </w:rPr>
        <w:t xml:space="preserve"> concerned </w:t>
      </w:r>
      <w:r>
        <w:rPr>
          <w:rFonts w:ascii="Arial" w:hAnsi="Arial" w:cs="Arial"/>
          <w:sz w:val="20"/>
          <w:szCs w:val="20"/>
          <w:lang w:val="en-AU"/>
        </w:rPr>
        <w:t>about</w:t>
      </w:r>
      <w:r w:rsidR="00002F01">
        <w:rPr>
          <w:rFonts w:ascii="Arial" w:hAnsi="Arial" w:cs="Arial"/>
          <w:sz w:val="20"/>
          <w:szCs w:val="20"/>
          <w:lang w:val="en-AU"/>
        </w:rPr>
        <w:t xml:space="preserve"> the AEMC’s proposal to recomm</w:t>
      </w:r>
      <w:bookmarkStart w:id="0" w:name="_GoBack"/>
      <w:bookmarkEnd w:id="0"/>
      <w:r w:rsidR="00002F01">
        <w:rPr>
          <w:rFonts w:ascii="Arial" w:hAnsi="Arial" w:cs="Arial"/>
          <w:sz w:val="20"/>
          <w:szCs w:val="20"/>
          <w:lang w:val="en-AU"/>
        </w:rPr>
        <w:t>end that the</w:t>
      </w:r>
      <w:r w:rsidR="00647800">
        <w:rPr>
          <w:rFonts w:ascii="Arial" w:hAnsi="Arial" w:cs="Arial"/>
          <w:sz w:val="20"/>
          <w:szCs w:val="20"/>
          <w:lang w:val="en-AU"/>
        </w:rPr>
        <w:t xml:space="preserve"> non-compliance with sections 24</w:t>
      </w:r>
      <w:r w:rsidR="00002F01">
        <w:rPr>
          <w:rFonts w:ascii="Arial" w:hAnsi="Arial" w:cs="Arial"/>
          <w:sz w:val="20"/>
          <w:szCs w:val="20"/>
          <w:lang w:val="en-AU"/>
        </w:rPr>
        <w:t xml:space="preserve"> and 37 of the NERL would attract civil penalties (</w:t>
      </w:r>
      <w:proofErr w:type="spellStart"/>
      <w:r w:rsidR="00002F01">
        <w:rPr>
          <w:rFonts w:ascii="Arial" w:hAnsi="Arial" w:cs="Arial"/>
          <w:sz w:val="20"/>
          <w:szCs w:val="20"/>
          <w:lang w:val="en-AU"/>
        </w:rPr>
        <w:t>ie</w:t>
      </w:r>
      <w:proofErr w:type="spellEnd"/>
      <w:r w:rsidR="00002F01">
        <w:rPr>
          <w:rFonts w:ascii="Arial" w:hAnsi="Arial" w:cs="Arial"/>
          <w:sz w:val="20"/>
          <w:szCs w:val="20"/>
          <w:lang w:val="en-AU"/>
        </w:rPr>
        <w:t>, part one o</w:t>
      </w:r>
      <w:r w:rsidR="00D03E9F">
        <w:rPr>
          <w:rFonts w:ascii="Arial" w:hAnsi="Arial" w:cs="Arial"/>
          <w:sz w:val="20"/>
          <w:szCs w:val="20"/>
          <w:lang w:val="en-AU"/>
        </w:rPr>
        <w:t xml:space="preserve">f the initial position). While we are mindful of the AEMC’s desire to ‘bolster’ the </w:t>
      </w:r>
      <w:r>
        <w:rPr>
          <w:rFonts w:ascii="Arial" w:hAnsi="Arial" w:cs="Arial"/>
          <w:sz w:val="20"/>
          <w:szCs w:val="20"/>
        </w:rPr>
        <w:t>Retail Pricing Information Guidelines</w:t>
      </w:r>
      <w:r>
        <w:rPr>
          <w:rFonts w:ascii="Arial" w:hAnsi="Arial" w:cs="Arial"/>
          <w:sz w:val="20"/>
          <w:szCs w:val="20"/>
          <w:lang w:val="en-AU"/>
        </w:rPr>
        <w:t xml:space="preserve"> (</w:t>
      </w:r>
      <w:r w:rsidR="00D03E9F">
        <w:rPr>
          <w:rFonts w:ascii="Arial" w:hAnsi="Arial" w:cs="Arial"/>
          <w:sz w:val="20"/>
          <w:szCs w:val="20"/>
          <w:lang w:val="en-AU"/>
        </w:rPr>
        <w:t>RPIG</w:t>
      </w:r>
      <w:r>
        <w:rPr>
          <w:rFonts w:ascii="Arial" w:hAnsi="Arial" w:cs="Arial"/>
          <w:sz w:val="20"/>
          <w:szCs w:val="20"/>
          <w:lang w:val="en-AU"/>
        </w:rPr>
        <w:t>)</w:t>
      </w:r>
      <w:r w:rsidR="00D03E9F">
        <w:rPr>
          <w:rFonts w:ascii="Arial" w:hAnsi="Arial" w:cs="Arial"/>
          <w:sz w:val="20"/>
          <w:szCs w:val="20"/>
          <w:lang w:val="en-AU"/>
        </w:rPr>
        <w:t xml:space="preserve"> in line with the rule change request, the consultation paper does not point to any compliance issues currently with the RPIG based on the AER’s current enforcement measures. </w:t>
      </w:r>
    </w:p>
    <w:p w:rsidR="00A92EF0" w:rsidRDefault="00D03E9F" w:rsidP="00532263">
      <w:pPr>
        <w:pStyle w:val="AECletterbody"/>
        <w:jc w:val="both"/>
        <w:rPr>
          <w:rFonts w:ascii="Arial" w:hAnsi="Arial" w:cs="Arial"/>
          <w:sz w:val="20"/>
          <w:szCs w:val="20"/>
          <w:lang w:val="en-AU"/>
        </w:rPr>
      </w:pPr>
      <w:r>
        <w:rPr>
          <w:rFonts w:ascii="Arial" w:hAnsi="Arial" w:cs="Arial"/>
          <w:sz w:val="20"/>
          <w:szCs w:val="20"/>
          <w:lang w:val="en-AU"/>
        </w:rPr>
        <w:t xml:space="preserve">We consider that the AER is already in the process of enhancing the RPIG through the amendments made as part of </w:t>
      </w:r>
      <w:r w:rsidR="00A92EF0">
        <w:rPr>
          <w:rFonts w:ascii="Arial" w:hAnsi="Arial" w:cs="Arial"/>
          <w:sz w:val="20"/>
          <w:szCs w:val="20"/>
          <w:lang w:val="en-AU"/>
        </w:rPr>
        <w:t>a</w:t>
      </w:r>
      <w:r>
        <w:rPr>
          <w:rFonts w:ascii="Arial" w:hAnsi="Arial" w:cs="Arial"/>
          <w:sz w:val="20"/>
          <w:szCs w:val="20"/>
          <w:lang w:val="en-AU"/>
        </w:rPr>
        <w:t xml:space="preserve"> recent </w:t>
      </w:r>
      <w:r w:rsidR="00A92EF0">
        <w:rPr>
          <w:rFonts w:ascii="Arial" w:hAnsi="Arial" w:cs="Arial"/>
          <w:sz w:val="20"/>
          <w:szCs w:val="20"/>
          <w:lang w:val="en-AU"/>
        </w:rPr>
        <w:t xml:space="preserve">RPIG </w:t>
      </w:r>
      <w:r>
        <w:rPr>
          <w:rFonts w:ascii="Arial" w:hAnsi="Arial" w:cs="Arial"/>
          <w:sz w:val="20"/>
          <w:szCs w:val="20"/>
          <w:lang w:val="en-AU"/>
        </w:rPr>
        <w:t xml:space="preserve">review. </w:t>
      </w:r>
    </w:p>
    <w:p w:rsidR="00535601" w:rsidRPr="00532263" w:rsidRDefault="00D03E9F" w:rsidP="00532263">
      <w:pPr>
        <w:pStyle w:val="AECletterbody"/>
        <w:jc w:val="both"/>
        <w:rPr>
          <w:rFonts w:ascii="Arial" w:hAnsi="Arial" w:cs="Arial"/>
          <w:sz w:val="20"/>
          <w:szCs w:val="20"/>
          <w:lang w:val="en-AU"/>
        </w:rPr>
      </w:pPr>
      <w:r>
        <w:rPr>
          <w:rFonts w:ascii="Arial" w:hAnsi="Arial" w:cs="Arial"/>
          <w:sz w:val="20"/>
          <w:szCs w:val="20"/>
          <w:lang w:val="en-AU"/>
        </w:rPr>
        <w:t xml:space="preserve">We are further concerned that there are conflicting views on what </w:t>
      </w:r>
      <w:r w:rsidR="00BE6AB1">
        <w:rPr>
          <w:rFonts w:ascii="Arial" w:hAnsi="Arial" w:cs="Arial"/>
          <w:sz w:val="20"/>
          <w:szCs w:val="20"/>
          <w:lang w:val="en-AU"/>
        </w:rPr>
        <w:t>effect</w:t>
      </w:r>
      <w:r>
        <w:rPr>
          <w:rFonts w:ascii="Arial" w:hAnsi="Arial" w:cs="Arial"/>
          <w:sz w:val="20"/>
          <w:szCs w:val="20"/>
          <w:lang w:val="en-AU"/>
        </w:rPr>
        <w:t xml:space="preserve"> the imposition of a civil penalty </w:t>
      </w:r>
      <w:r w:rsidR="00BE6AB1">
        <w:rPr>
          <w:rFonts w:ascii="Arial" w:hAnsi="Arial" w:cs="Arial"/>
          <w:sz w:val="20"/>
          <w:szCs w:val="20"/>
          <w:lang w:val="en-AU"/>
        </w:rPr>
        <w:t xml:space="preserve">on </w:t>
      </w:r>
      <w:r w:rsidR="00C565A7">
        <w:rPr>
          <w:rFonts w:ascii="Arial" w:hAnsi="Arial" w:cs="Arial"/>
          <w:sz w:val="20"/>
          <w:szCs w:val="20"/>
          <w:lang w:val="en-AU"/>
        </w:rPr>
        <w:t>sections 24 and 37 of</w:t>
      </w:r>
      <w:r w:rsidR="00BE6AB1">
        <w:rPr>
          <w:rFonts w:ascii="Arial" w:hAnsi="Arial" w:cs="Arial"/>
          <w:sz w:val="20"/>
          <w:szCs w:val="20"/>
          <w:lang w:val="en-AU"/>
        </w:rPr>
        <w:t xml:space="preserve"> the NERL </w:t>
      </w:r>
      <w:r>
        <w:rPr>
          <w:rFonts w:ascii="Arial" w:hAnsi="Arial" w:cs="Arial"/>
          <w:sz w:val="20"/>
          <w:szCs w:val="20"/>
          <w:lang w:val="en-AU"/>
        </w:rPr>
        <w:t xml:space="preserve">would have </w:t>
      </w:r>
      <w:r w:rsidR="00BE6AB1">
        <w:rPr>
          <w:rFonts w:ascii="Arial" w:hAnsi="Arial" w:cs="Arial"/>
          <w:sz w:val="20"/>
          <w:szCs w:val="20"/>
          <w:lang w:val="en-AU"/>
        </w:rPr>
        <w:t xml:space="preserve">in practice </w:t>
      </w:r>
      <w:r>
        <w:rPr>
          <w:rFonts w:ascii="Arial" w:hAnsi="Arial" w:cs="Arial"/>
          <w:sz w:val="20"/>
          <w:szCs w:val="20"/>
          <w:lang w:val="en-AU"/>
        </w:rPr>
        <w:t>– and whether it would effectively render the non-compliance w</w:t>
      </w:r>
      <w:r w:rsidR="00C565A7">
        <w:rPr>
          <w:rFonts w:ascii="Arial" w:hAnsi="Arial" w:cs="Arial"/>
          <w:sz w:val="20"/>
          <w:szCs w:val="20"/>
          <w:lang w:val="en-AU"/>
        </w:rPr>
        <w:t>ith any provision of the RPIG</w:t>
      </w:r>
      <w:r>
        <w:rPr>
          <w:rFonts w:ascii="Arial" w:hAnsi="Arial" w:cs="Arial"/>
          <w:sz w:val="20"/>
          <w:szCs w:val="20"/>
          <w:lang w:val="en-AU"/>
        </w:rPr>
        <w:t xml:space="preserve"> subject to </w:t>
      </w:r>
      <w:r w:rsidR="00BE6AB1">
        <w:rPr>
          <w:rFonts w:ascii="Arial" w:hAnsi="Arial" w:cs="Arial"/>
          <w:sz w:val="20"/>
          <w:szCs w:val="20"/>
          <w:lang w:val="en-AU"/>
        </w:rPr>
        <w:t xml:space="preserve">a </w:t>
      </w:r>
      <w:r>
        <w:rPr>
          <w:rFonts w:ascii="Arial" w:hAnsi="Arial" w:cs="Arial"/>
          <w:sz w:val="20"/>
          <w:szCs w:val="20"/>
          <w:lang w:val="en-AU"/>
        </w:rPr>
        <w:t xml:space="preserve">civil penalty. </w:t>
      </w:r>
      <w:r w:rsidR="00535601">
        <w:rPr>
          <w:rFonts w:ascii="Arial" w:hAnsi="Arial" w:cs="Arial"/>
          <w:sz w:val="20"/>
          <w:szCs w:val="20"/>
          <w:lang w:val="en-AU"/>
        </w:rPr>
        <w:t>We recommend that the AEMC further consider</w:t>
      </w:r>
      <w:r w:rsidR="00A92EF0">
        <w:rPr>
          <w:rFonts w:ascii="Arial" w:hAnsi="Arial" w:cs="Arial"/>
          <w:sz w:val="20"/>
          <w:szCs w:val="20"/>
          <w:lang w:val="en-AU"/>
        </w:rPr>
        <w:t>s</w:t>
      </w:r>
      <w:r w:rsidR="00535601">
        <w:rPr>
          <w:rFonts w:ascii="Arial" w:hAnsi="Arial" w:cs="Arial"/>
          <w:sz w:val="20"/>
          <w:szCs w:val="20"/>
          <w:lang w:val="en-AU"/>
        </w:rPr>
        <w:t xml:space="preserve"> whether </w:t>
      </w:r>
      <w:r w:rsidR="00A92EF0">
        <w:rPr>
          <w:rFonts w:ascii="Arial" w:hAnsi="Arial" w:cs="Arial"/>
          <w:sz w:val="20"/>
          <w:szCs w:val="20"/>
          <w:lang w:val="en-AU"/>
        </w:rPr>
        <w:t xml:space="preserve">there is </w:t>
      </w:r>
      <w:r w:rsidR="00535601">
        <w:rPr>
          <w:rFonts w:ascii="Arial" w:hAnsi="Arial" w:cs="Arial"/>
          <w:sz w:val="20"/>
          <w:szCs w:val="20"/>
          <w:lang w:val="en-AU"/>
        </w:rPr>
        <w:t>sufficient cl</w:t>
      </w:r>
      <w:r w:rsidR="00A92EF0">
        <w:rPr>
          <w:rFonts w:ascii="Arial" w:hAnsi="Arial" w:cs="Arial"/>
          <w:sz w:val="20"/>
          <w:szCs w:val="20"/>
          <w:lang w:val="en-AU"/>
        </w:rPr>
        <w:t>arity</w:t>
      </w:r>
      <w:r w:rsidR="00535601">
        <w:rPr>
          <w:rFonts w:ascii="Arial" w:hAnsi="Arial" w:cs="Arial"/>
          <w:sz w:val="20"/>
          <w:szCs w:val="20"/>
          <w:lang w:val="en-AU"/>
        </w:rPr>
        <w:t xml:space="preserve"> </w:t>
      </w:r>
      <w:r w:rsidR="00A92EF0">
        <w:rPr>
          <w:rFonts w:ascii="Arial" w:hAnsi="Arial" w:cs="Arial"/>
          <w:sz w:val="20"/>
          <w:szCs w:val="20"/>
          <w:lang w:val="en-AU"/>
        </w:rPr>
        <w:t xml:space="preserve">about </w:t>
      </w:r>
      <w:r w:rsidR="00535601">
        <w:rPr>
          <w:rFonts w:ascii="Arial" w:hAnsi="Arial" w:cs="Arial"/>
          <w:sz w:val="20"/>
          <w:szCs w:val="20"/>
          <w:lang w:val="en-AU"/>
        </w:rPr>
        <w:t xml:space="preserve">which provisions of the RPIG </w:t>
      </w:r>
      <w:r w:rsidR="00535601">
        <w:rPr>
          <w:rFonts w:ascii="Arial" w:hAnsi="Arial" w:cs="Arial"/>
          <w:sz w:val="20"/>
          <w:szCs w:val="20"/>
          <w:lang w:val="en-AU"/>
        </w:rPr>
        <w:lastRenderedPageBreak/>
        <w:t>would attract civil penalties under the propo</w:t>
      </w:r>
      <w:r w:rsidR="00532263">
        <w:rPr>
          <w:rFonts w:ascii="Arial" w:hAnsi="Arial" w:cs="Arial"/>
          <w:sz w:val="20"/>
          <w:szCs w:val="20"/>
          <w:lang w:val="en-AU"/>
        </w:rPr>
        <w:t>sed approach.</w:t>
      </w:r>
      <w:r w:rsidR="00BE6AB1">
        <w:rPr>
          <w:rFonts w:ascii="Arial" w:hAnsi="Arial" w:cs="Arial"/>
          <w:sz w:val="20"/>
          <w:szCs w:val="20"/>
          <w:lang w:val="en-AU"/>
        </w:rPr>
        <w:t xml:space="preserve"> If not, we would query whether those provisio</w:t>
      </w:r>
      <w:r w:rsidR="00C565A7">
        <w:rPr>
          <w:rFonts w:ascii="Arial" w:hAnsi="Arial" w:cs="Arial"/>
          <w:sz w:val="20"/>
          <w:szCs w:val="20"/>
          <w:lang w:val="en-AU"/>
        </w:rPr>
        <w:t>ns of the NERL are appropriate to be made</w:t>
      </w:r>
      <w:r w:rsidR="00BE6AB1">
        <w:rPr>
          <w:rFonts w:ascii="Arial" w:hAnsi="Arial" w:cs="Arial"/>
          <w:sz w:val="20"/>
          <w:szCs w:val="20"/>
          <w:lang w:val="en-AU"/>
        </w:rPr>
        <w:t xml:space="preserve"> the subject of civil penalties.</w:t>
      </w:r>
      <w:r w:rsidR="00532263">
        <w:rPr>
          <w:rFonts w:ascii="Arial" w:hAnsi="Arial" w:cs="Arial"/>
          <w:sz w:val="20"/>
          <w:szCs w:val="20"/>
          <w:lang w:val="en-AU"/>
        </w:rPr>
        <w:t xml:space="preserve"> </w:t>
      </w:r>
      <w:r w:rsidR="00535601">
        <w:rPr>
          <w:rFonts w:ascii="Arial" w:hAnsi="Arial" w:cs="Arial"/>
          <w:sz w:val="20"/>
          <w:szCs w:val="20"/>
          <w:lang w:val="en-AU"/>
        </w:rPr>
        <w:t xml:space="preserve"> </w:t>
      </w:r>
      <w:r w:rsidR="00535601">
        <w:rPr>
          <w:rFonts w:ascii="Arial" w:hAnsi="Arial" w:cs="Arial"/>
          <w:sz w:val="20"/>
          <w:szCs w:val="20"/>
        </w:rPr>
        <w:t xml:space="preserve"> </w:t>
      </w:r>
    </w:p>
    <w:p w:rsidR="00D92E2F" w:rsidRDefault="00D92E2F" w:rsidP="00B5201B">
      <w:pPr>
        <w:rPr>
          <w:rFonts w:ascii="Arial" w:hAnsi="Arial" w:cs="Arial"/>
          <w:b/>
          <w:sz w:val="20"/>
          <w:szCs w:val="20"/>
        </w:rPr>
      </w:pPr>
      <w:r>
        <w:rPr>
          <w:rFonts w:ascii="Arial" w:hAnsi="Arial" w:cs="Arial"/>
          <w:b/>
          <w:sz w:val="20"/>
          <w:szCs w:val="20"/>
        </w:rPr>
        <w:t>Role of ACL, RPIG and NECF</w:t>
      </w:r>
    </w:p>
    <w:p w:rsidR="00B5201B" w:rsidRDefault="00B5201B" w:rsidP="0024411C">
      <w:pPr>
        <w:jc w:val="both"/>
        <w:rPr>
          <w:rFonts w:ascii="Arial" w:hAnsi="Arial" w:cs="Arial"/>
          <w:sz w:val="20"/>
          <w:szCs w:val="20"/>
        </w:rPr>
      </w:pPr>
      <w:r>
        <w:rPr>
          <w:rFonts w:ascii="Arial" w:hAnsi="Arial" w:cs="Arial"/>
          <w:sz w:val="20"/>
          <w:szCs w:val="20"/>
        </w:rPr>
        <w:t xml:space="preserve">The </w:t>
      </w:r>
      <w:r w:rsidR="00A92EF0">
        <w:rPr>
          <w:rFonts w:ascii="Arial" w:hAnsi="Arial" w:cs="Arial"/>
          <w:sz w:val="20"/>
          <w:szCs w:val="20"/>
        </w:rPr>
        <w:t>AEC</w:t>
      </w:r>
      <w:r>
        <w:rPr>
          <w:rFonts w:ascii="Arial" w:hAnsi="Arial" w:cs="Arial"/>
          <w:sz w:val="20"/>
          <w:szCs w:val="20"/>
        </w:rPr>
        <w:t xml:space="preserve"> agrees that the ACL and RPIG are appropriate mechanisms governing the making and presentation of </w:t>
      </w:r>
      <w:r w:rsidR="00647800">
        <w:rPr>
          <w:rFonts w:ascii="Arial" w:hAnsi="Arial" w:cs="Arial"/>
          <w:sz w:val="20"/>
          <w:szCs w:val="20"/>
        </w:rPr>
        <w:t>market offers. T</w:t>
      </w:r>
      <w:r w:rsidR="00D92E2F">
        <w:rPr>
          <w:rFonts w:ascii="Arial" w:hAnsi="Arial" w:cs="Arial"/>
          <w:sz w:val="20"/>
          <w:szCs w:val="20"/>
        </w:rPr>
        <w:t>he NERR is also relevant in determining minimum standards applicable in market contracts.</w:t>
      </w:r>
      <w:r>
        <w:rPr>
          <w:rFonts w:ascii="Arial" w:hAnsi="Arial" w:cs="Arial"/>
          <w:sz w:val="20"/>
          <w:szCs w:val="20"/>
        </w:rPr>
        <w:t xml:space="preserve"> </w:t>
      </w:r>
    </w:p>
    <w:p w:rsidR="00AF394E" w:rsidRDefault="00AF394E" w:rsidP="0024411C">
      <w:pPr>
        <w:jc w:val="both"/>
        <w:rPr>
          <w:rFonts w:ascii="Arial" w:hAnsi="Arial" w:cs="Arial"/>
          <w:sz w:val="20"/>
          <w:szCs w:val="20"/>
        </w:rPr>
      </w:pPr>
      <w:r>
        <w:rPr>
          <w:rFonts w:ascii="Arial" w:hAnsi="Arial" w:cs="Arial"/>
          <w:sz w:val="20"/>
          <w:szCs w:val="20"/>
        </w:rPr>
        <w:t xml:space="preserve">The ACL is </w:t>
      </w:r>
      <w:r w:rsidR="00647800">
        <w:rPr>
          <w:rFonts w:ascii="Arial" w:hAnsi="Arial" w:cs="Arial"/>
          <w:sz w:val="20"/>
          <w:szCs w:val="20"/>
        </w:rPr>
        <w:t>a</w:t>
      </w:r>
      <w:r>
        <w:rPr>
          <w:rFonts w:ascii="Arial" w:hAnsi="Arial" w:cs="Arial"/>
          <w:sz w:val="20"/>
          <w:szCs w:val="20"/>
        </w:rPr>
        <w:t xml:space="preserve"> broad national law providing consumer rights and prohibiting misleading and deceptive conduct, unfair practices and certain consumer guarantees</w:t>
      </w:r>
      <w:r w:rsidR="00BE6AB1">
        <w:rPr>
          <w:rFonts w:ascii="Arial" w:hAnsi="Arial" w:cs="Arial"/>
          <w:sz w:val="20"/>
          <w:szCs w:val="20"/>
        </w:rPr>
        <w:t>.</w:t>
      </w:r>
      <w:r>
        <w:rPr>
          <w:rFonts w:ascii="Arial" w:hAnsi="Arial" w:cs="Arial"/>
          <w:sz w:val="20"/>
          <w:szCs w:val="20"/>
        </w:rPr>
        <w:t xml:space="preserve"> </w:t>
      </w:r>
    </w:p>
    <w:p w:rsidR="00AF394E" w:rsidRDefault="00B5201B" w:rsidP="0024411C">
      <w:pPr>
        <w:jc w:val="both"/>
        <w:rPr>
          <w:rFonts w:ascii="Arial" w:hAnsi="Arial" w:cs="Arial"/>
          <w:sz w:val="20"/>
          <w:szCs w:val="20"/>
        </w:rPr>
      </w:pPr>
      <w:r>
        <w:rPr>
          <w:rFonts w:ascii="Arial" w:hAnsi="Arial" w:cs="Arial"/>
          <w:sz w:val="20"/>
          <w:szCs w:val="20"/>
        </w:rPr>
        <w:t xml:space="preserve">The NERL establishes energy-specific consumer protections which complement more general consumer protection laws including the ACL. Under the </w:t>
      </w:r>
      <w:r w:rsidR="00647800">
        <w:rPr>
          <w:rFonts w:ascii="Arial" w:hAnsi="Arial" w:cs="Arial"/>
          <w:sz w:val="20"/>
          <w:szCs w:val="20"/>
        </w:rPr>
        <w:t>NECF</w:t>
      </w:r>
      <w:r>
        <w:rPr>
          <w:rFonts w:ascii="Arial" w:hAnsi="Arial" w:cs="Arial"/>
          <w:sz w:val="20"/>
          <w:szCs w:val="20"/>
        </w:rPr>
        <w:t xml:space="preserve">, the AER has particular responsibility for making and amending guidelines to provide guidance to retailers in the presentation of standing offer prices and market offer prices. The RPIG may specify the manner and form of standing offer prices and market offer prices when </w:t>
      </w:r>
      <w:r w:rsidR="00A92EF0">
        <w:rPr>
          <w:rFonts w:ascii="Arial" w:hAnsi="Arial" w:cs="Arial"/>
          <w:sz w:val="20"/>
          <w:szCs w:val="20"/>
        </w:rPr>
        <w:t xml:space="preserve">retailers </w:t>
      </w:r>
      <w:r>
        <w:rPr>
          <w:rFonts w:ascii="Arial" w:hAnsi="Arial" w:cs="Arial"/>
          <w:sz w:val="20"/>
          <w:szCs w:val="20"/>
        </w:rPr>
        <w:t>publish, advertis</w:t>
      </w:r>
      <w:r w:rsidR="00A92EF0">
        <w:rPr>
          <w:rFonts w:ascii="Arial" w:hAnsi="Arial" w:cs="Arial"/>
          <w:sz w:val="20"/>
          <w:szCs w:val="20"/>
        </w:rPr>
        <w:t>e</w:t>
      </w:r>
      <w:r>
        <w:rPr>
          <w:rFonts w:ascii="Arial" w:hAnsi="Arial" w:cs="Arial"/>
          <w:sz w:val="20"/>
          <w:szCs w:val="20"/>
        </w:rPr>
        <w:t xml:space="preserve"> or notify the AER of those prices or any variation. </w:t>
      </w:r>
    </w:p>
    <w:p w:rsidR="00D92E2F" w:rsidRDefault="00B5201B" w:rsidP="0024411C">
      <w:pPr>
        <w:jc w:val="both"/>
        <w:rPr>
          <w:rFonts w:ascii="Arial" w:hAnsi="Arial" w:cs="Arial"/>
          <w:sz w:val="20"/>
          <w:szCs w:val="20"/>
        </w:rPr>
      </w:pPr>
      <w:r>
        <w:rPr>
          <w:rFonts w:ascii="Arial" w:hAnsi="Arial" w:cs="Arial"/>
          <w:sz w:val="20"/>
          <w:szCs w:val="20"/>
        </w:rPr>
        <w:t xml:space="preserve">The NERL also </w:t>
      </w:r>
      <w:r w:rsidR="00647800">
        <w:rPr>
          <w:rFonts w:ascii="Arial" w:hAnsi="Arial" w:cs="Arial"/>
          <w:sz w:val="20"/>
          <w:szCs w:val="20"/>
        </w:rPr>
        <w:t>provides</w:t>
      </w:r>
      <w:r>
        <w:rPr>
          <w:rFonts w:ascii="Arial" w:hAnsi="Arial" w:cs="Arial"/>
          <w:sz w:val="20"/>
          <w:szCs w:val="20"/>
        </w:rPr>
        <w:t xml:space="preserve"> that the NERR may set out minimum requirements t</w:t>
      </w:r>
      <w:r w:rsidR="00647800">
        <w:rPr>
          <w:rFonts w:ascii="Arial" w:hAnsi="Arial" w:cs="Arial"/>
          <w:sz w:val="20"/>
          <w:szCs w:val="20"/>
        </w:rPr>
        <w:t>hat are to apply in relation</w:t>
      </w:r>
      <w:r>
        <w:rPr>
          <w:rFonts w:ascii="Arial" w:hAnsi="Arial" w:cs="Arial"/>
          <w:sz w:val="20"/>
          <w:szCs w:val="20"/>
        </w:rPr>
        <w:t xml:space="preserve"> to the terms and conditions of market retail contracts</w:t>
      </w:r>
      <w:r w:rsidR="00D92E2F">
        <w:rPr>
          <w:rFonts w:ascii="Arial" w:hAnsi="Arial" w:cs="Arial"/>
          <w:sz w:val="20"/>
          <w:szCs w:val="20"/>
        </w:rPr>
        <w:t xml:space="preserve"> (NERL section 34(1)(b))</w:t>
      </w:r>
      <w:r>
        <w:rPr>
          <w:rFonts w:ascii="Arial" w:hAnsi="Arial" w:cs="Arial"/>
          <w:sz w:val="20"/>
          <w:szCs w:val="20"/>
        </w:rPr>
        <w:t xml:space="preserve">. </w:t>
      </w:r>
      <w:r w:rsidR="00124E40">
        <w:rPr>
          <w:rFonts w:ascii="Arial" w:hAnsi="Arial" w:cs="Arial"/>
          <w:sz w:val="20"/>
          <w:szCs w:val="20"/>
        </w:rPr>
        <w:t>We agree with the AEMC that, generally, retailers’ energy offers should be restricted through the NERR as a competitive energy market is the best means of determining offers to suit customer preferences. We</w:t>
      </w:r>
      <w:r w:rsidR="00D92E2F">
        <w:rPr>
          <w:rFonts w:ascii="Arial" w:hAnsi="Arial" w:cs="Arial"/>
          <w:sz w:val="20"/>
          <w:szCs w:val="20"/>
        </w:rPr>
        <w:t xml:space="preserve"> consider the approach taken by the AEMC in the rule change </w:t>
      </w:r>
      <w:r w:rsidR="00647800">
        <w:rPr>
          <w:rFonts w:ascii="Arial" w:hAnsi="Arial" w:cs="Arial"/>
          <w:sz w:val="20"/>
          <w:szCs w:val="20"/>
        </w:rPr>
        <w:t xml:space="preserve">reflects the respective roles of the ACL, RPIG and NERR and is appropriate in this context. </w:t>
      </w:r>
    </w:p>
    <w:p w:rsidR="00D92E2F" w:rsidRDefault="00D92E2F" w:rsidP="0024411C">
      <w:pPr>
        <w:jc w:val="both"/>
        <w:rPr>
          <w:rFonts w:ascii="Arial" w:hAnsi="Arial" w:cs="Arial"/>
          <w:b/>
          <w:sz w:val="20"/>
          <w:szCs w:val="20"/>
        </w:rPr>
      </w:pPr>
      <w:r>
        <w:rPr>
          <w:rFonts w:ascii="Arial" w:hAnsi="Arial" w:cs="Arial"/>
          <w:b/>
          <w:sz w:val="20"/>
          <w:szCs w:val="20"/>
        </w:rPr>
        <w:t>Indicative drafting</w:t>
      </w:r>
    </w:p>
    <w:p w:rsidR="00D92E2F" w:rsidRDefault="00D92E2F" w:rsidP="0024411C">
      <w:pPr>
        <w:jc w:val="both"/>
        <w:rPr>
          <w:rFonts w:ascii="Arial" w:hAnsi="Arial" w:cs="Arial"/>
          <w:sz w:val="20"/>
          <w:szCs w:val="20"/>
        </w:rPr>
      </w:pPr>
      <w:r w:rsidRPr="00D92E2F">
        <w:rPr>
          <w:rFonts w:ascii="Arial" w:hAnsi="Arial" w:cs="Arial"/>
          <w:sz w:val="20"/>
          <w:szCs w:val="20"/>
        </w:rPr>
        <w:t xml:space="preserve">We </w:t>
      </w:r>
      <w:r>
        <w:rPr>
          <w:rFonts w:ascii="Arial" w:hAnsi="Arial" w:cs="Arial"/>
          <w:sz w:val="20"/>
          <w:szCs w:val="20"/>
        </w:rPr>
        <w:t>support the approach take</w:t>
      </w:r>
      <w:r w:rsidR="00F63C21">
        <w:rPr>
          <w:rFonts w:ascii="Arial" w:hAnsi="Arial" w:cs="Arial"/>
          <w:sz w:val="20"/>
          <w:szCs w:val="20"/>
        </w:rPr>
        <w:t xml:space="preserve">n in the indicative drafting to </w:t>
      </w:r>
      <w:r w:rsidRPr="00F63C21">
        <w:rPr>
          <w:rFonts w:ascii="Arial" w:hAnsi="Arial" w:cs="Arial"/>
          <w:sz w:val="20"/>
          <w:szCs w:val="20"/>
        </w:rPr>
        <w:t>establish</w:t>
      </w:r>
      <w:r w:rsidR="00F63C21">
        <w:rPr>
          <w:rFonts w:ascii="Arial" w:hAnsi="Arial" w:cs="Arial"/>
          <w:sz w:val="20"/>
          <w:szCs w:val="20"/>
        </w:rPr>
        <w:t xml:space="preserve">ing a concept of </w:t>
      </w:r>
      <w:r w:rsidR="00F63C21" w:rsidRPr="00F63C21">
        <w:rPr>
          <w:rFonts w:ascii="Arial" w:hAnsi="Arial" w:cs="Arial"/>
          <w:i/>
          <w:sz w:val="20"/>
          <w:szCs w:val="20"/>
        </w:rPr>
        <w:t>equivalency</w:t>
      </w:r>
      <w:r w:rsidR="00D761D5">
        <w:rPr>
          <w:rFonts w:ascii="Arial" w:hAnsi="Arial" w:cs="Arial"/>
          <w:sz w:val="20"/>
          <w:szCs w:val="20"/>
        </w:rPr>
        <w:t xml:space="preserve">. </w:t>
      </w:r>
      <w:r w:rsidR="00F63C21">
        <w:rPr>
          <w:rFonts w:ascii="Arial" w:hAnsi="Arial" w:cs="Arial"/>
          <w:sz w:val="20"/>
          <w:szCs w:val="20"/>
        </w:rPr>
        <w:t>Where a market offer is structured differently from a standing offer, the standing offer cannot be reasonably considered as establishing a ‘base rate’</w:t>
      </w:r>
      <w:r w:rsidR="00532263">
        <w:rPr>
          <w:rFonts w:ascii="Arial" w:hAnsi="Arial" w:cs="Arial"/>
          <w:sz w:val="20"/>
          <w:szCs w:val="20"/>
        </w:rPr>
        <w:t xml:space="preserve"> for the purposes of the market offer</w:t>
      </w:r>
      <w:r w:rsidR="00F63C21">
        <w:rPr>
          <w:rFonts w:ascii="Arial" w:hAnsi="Arial" w:cs="Arial"/>
          <w:sz w:val="20"/>
          <w:szCs w:val="20"/>
        </w:rPr>
        <w:t>. Any approach which seeks to treat different offer structures as comparable</w:t>
      </w:r>
      <w:r w:rsidR="00647800">
        <w:rPr>
          <w:rFonts w:ascii="Arial" w:hAnsi="Arial" w:cs="Arial"/>
          <w:sz w:val="20"/>
          <w:szCs w:val="20"/>
        </w:rPr>
        <w:t xml:space="preserve"> creates a risk of</w:t>
      </w:r>
      <w:r w:rsidR="00F63C21">
        <w:rPr>
          <w:rFonts w:ascii="Arial" w:hAnsi="Arial" w:cs="Arial"/>
          <w:sz w:val="20"/>
          <w:szCs w:val="20"/>
        </w:rPr>
        <w:t xml:space="preserve"> unintended consequences</w:t>
      </w:r>
      <w:r w:rsidR="00A92EF0">
        <w:rPr>
          <w:rFonts w:ascii="Arial" w:hAnsi="Arial" w:cs="Arial"/>
          <w:sz w:val="20"/>
          <w:szCs w:val="20"/>
        </w:rPr>
        <w:t>,</w:t>
      </w:r>
      <w:r w:rsidR="00F63C21">
        <w:rPr>
          <w:rFonts w:ascii="Arial" w:hAnsi="Arial" w:cs="Arial"/>
          <w:sz w:val="20"/>
          <w:szCs w:val="20"/>
        </w:rPr>
        <w:t xml:space="preserve"> including stifling innovation in market retail offerings. </w:t>
      </w:r>
    </w:p>
    <w:p w:rsidR="00F63C21" w:rsidRDefault="00F63C21" w:rsidP="0024411C">
      <w:pPr>
        <w:jc w:val="both"/>
        <w:rPr>
          <w:rFonts w:ascii="Arial" w:hAnsi="Arial" w:cs="Arial"/>
          <w:sz w:val="20"/>
          <w:szCs w:val="20"/>
        </w:rPr>
      </w:pPr>
      <w:r>
        <w:rPr>
          <w:rFonts w:ascii="Arial" w:hAnsi="Arial" w:cs="Arial"/>
          <w:sz w:val="20"/>
          <w:szCs w:val="20"/>
        </w:rPr>
        <w:t>We agree with the exclusion of fees from the definition of ‘energy rate’. The effect of this exclusion is that fees applying to a market offer are not relevant to the prohibition; nor are they relevant to determining equivalency of a standing and market offer. However, the inclusion of the term ‘penalty’ in the indicative drafting is problematic as any contractual clause which would be c</w:t>
      </w:r>
      <w:r w:rsidR="006E3E84">
        <w:rPr>
          <w:rFonts w:ascii="Arial" w:hAnsi="Arial" w:cs="Arial"/>
          <w:sz w:val="20"/>
          <w:szCs w:val="20"/>
        </w:rPr>
        <w:t>onsidered a penalty would</w:t>
      </w:r>
      <w:r>
        <w:rPr>
          <w:rFonts w:ascii="Arial" w:hAnsi="Arial" w:cs="Arial"/>
          <w:sz w:val="20"/>
          <w:szCs w:val="20"/>
        </w:rPr>
        <w:t xml:space="preserve"> be unenforceable</w:t>
      </w:r>
      <w:r w:rsidR="00D761D5">
        <w:rPr>
          <w:rFonts w:ascii="Arial" w:hAnsi="Arial" w:cs="Arial"/>
          <w:sz w:val="20"/>
          <w:szCs w:val="20"/>
        </w:rPr>
        <w:t xml:space="preserve"> as a matter of law</w:t>
      </w:r>
      <w:r>
        <w:rPr>
          <w:rFonts w:ascii="Arial" w:hAnsi="Arial" w:cs="Arial"/>
          <w:sz w:val="20"/>
          <w:szCs w:val="20"/>
        </w:rPr>
        <w:t xml:space="preserve">. In the </w:t>
      </w:r>
      <w:r w:rsidR="00A92EF0">
        <w:rPr>
          <w:rFonts w:ascii="Arial" w:hAnsi="Arial" w:cs="Arial"/>
          <w:sz w:val="20"/>
          <w:szCs w:val="20"/>
        </w:rPr>
        <w:t>AEC</w:t>
      </w:r>
      <w:r>
        <w:rPr>
          <w:rFonts w:ascii="Arial" w:hAnsi="Arial" w:cs="Arial"/>
          <w:sz w:val="20"/>
          <w:szCs w:val="20"/>
        </w:rPr>
        <w:t xml:space="preserve">’s view, it is </w:t>
      </w:r>
      <w:r w:rsidR="00D761D5">
        <w:rPr>
          <w:rFonts w:ascii="Arial" w:hAnsi="Arial" w:cs="Arial"/>
          <w:sz w:val="20"/>
          <w:szCs w:val="20"/>
        </w:rPr>
        <w:t xml:space="preserve">preferable for the </w:t>
      </w:r>
      <w:r>
        <w:rPr>
          <w:rFonts w:ascii="Arial" w:hAnsi="Arial" w:cs="Arial"/>
          <w:sz w:val="20"/>
          <w:szCs w:val="20"/>
        </w:rPr>
        <w:t xml:space="preserve">NERR to </w:t>
      </w:r>
      <w:r w:rsidR="00D761D5">
        <w:rPr>
          <w:rFonts w:ascii="Arial" w:hAnsi="Arial" w:cs="Arial"/>
          <w:sz w:val="20"/>
          <w:szCs w:val="20"/>
        </w:rPr>
        <w:t xml:space="preserve">avoid any potential </w:t>
      </w:r>
      <w:r>
        <w:rPr>
          <w:rFonts w:ascii="Arial" w:hAnsi="Arial" w:cs="Arial"/>
          <w:sz w:val="20"/>
          <w:szCs w:val="20"/>
        </w:rPr>
        <w:t>implication that market offers would include penalty clauses</w:t>
      </w:r>
      <w:r w:rsidR="00D761D5">
        <w:rPr>
          <w:rFonts w:ascii="Arial" w:hAnsi="Arial" w:cs="Arial"/>
          <w:sz w:val="20"/>
          <w:szCs w:val="20"/>
        </w:rPr>
        <w:t xml:space="preserve"> (and </w:t>
      </w:r>
      <w:r w:rsidR="00647800">
        <w:rPr>
          <w:rFonts w:ascii="Arial" w:hAnsi="Arial" w:cs="Arial"/>
          <w:sz w:val="20"/>
          <w:szCs w:val="20"/>
        </w:rPr>
        <w:t>in our view</w:t>
      </w:r>
      <w:r w:rsidR="00D761D5">
        <w:rPr>
          <w:rFonts w:ascii="Arial" w:hAnsi="Arial" w:cs="Arial"/>
          <w:sz w:val="20"/>
          <w:szCs w:val="20"/>
        </w:rPr>
        <w:t xml:space="preserve"> the term ‘fee’ captures the relevant concept adequately). </w:t>
      </w:r>
    </w:p>
    <w:p w:rsidR="00D761D5" w:rsidRPr="00D761D5" w:rsidRDefault="00D761D5" w:rsidP="00F63C21">
      <w:pPr>
        <w:rPr>
          <w:rFonts w:ascii="Arial" w:hAnsi="Arial" w:cs="Arial"/>
          <w:b/>
          <w:sz w:val="20"/>
          <w:szCs w:val="20"/>
        </w:rPr>
      </w:pPr>
      <w:r w:rsidRPr="00D761D5">
        <w:rPr>
          <w:rFonts w:ascii="Arial" w:hAnsi="Arial" w:cs="Arial"/>
          <w:b/>
          <w:sz w:val="20"/>
          <w:szCs w:val="20"/>
        </w:rPr>
        <w:t>Treatment of dual fuel</w:t>
      </w:r>
    </w:p>
    <w:p w:rsidR="00D03E9F" w:rsidRDefault="00D761D5" w:rsidP="0024411C">
      <w:pPr>
        <w:jc w:val="both"/>
        <w:rPr>
          <w:rFonts w:ascii="Arial" w:hAnsi="Arial" w:cs="Arial"/>
          <w:sz w:val="20"/>
          <w:szCs w:val="20"/>
        </w:rPr>
      </w:pPr>
      <w:r>
        <w:rPr>
          <w:rFonts w:ascii="Arial" w:hAnsi="Arial" w:cs="Arial"/>
          <w:sz w:val="20"/>
          <w:szCs w:val="20"/>
        </w:rPr>
        <w:t xml:space="preserve">We note the AEMC’s proposed revisions to its treatment of dual fuel </w:t>
      </w:r>
      <w:r w:rsidR="00647800">
        <w:rPr>
          <w:rFonts w:ascii="Arial" w:hAnsi="Arial" w:cs="Arial"/>
          <w:sz w:val="20"/>
          <w:szCs w:val="20"/>
        </w:rPr>
        <w:t xml:space="preserve">offers, </w:t>
      </w:r>
      <w:r>
        <w:rPr>
          <w:rFonts w:ascii="Arial" w:hAnsi="Arial" w:cs="Arial"/>
          <w:sz w:val="20"/>
          <w:szCs w:val="20"/>
        </w:rPr>
        <w:t>as presented at the stakeholder workshop on 4 April</w:t>
      </w:r>
      <w:r w:rsidR="00647800">
        <w:rPr>
          <w:rFonts w:ascii="Arial" w:hAnsi="Arial" w:cs="Arial"/>
          <w:sz w:val="20"/>
          <w:szCs w:val="20"/>
        </w:rPr>
        <w:t xml:space="preserve"> 2018</w:t>
      </w:r>
      <w:r>
        <w:rPr>
          <w:rFonts w:ascii="Arial" w:hAnsi="Arial" w:cs="Arial"/>
          <w:sz w:val="20"/>
          <w:szCs w:val="20"/>
        </w:rPr>
        <w:t xml:space="preserve">. The revised approach seeks to match like for like dual fuel </w:t>
      </w:r>
      <w:r>
        <w:rPr>
          <w:rFonts w:ascii="Arial" w:hAnsi="Arial" w:cs="Arial"/>
          <w:sz w:val="20"/>
          <w:szCs w:val="20"/>
        </w:rPr>
        <w:lastRenderedPageBreak/>
        <w:t xml:space="preserve">offers and is logically consistent with the approach otherwise taken in the indicative drafting. In the </w:t>
      </w:r>
      <w:r w:rsidR="00A92EF0">
        <w:rPr>
          <w:rFonts w:ascii="Arial" w:hAnsi="Arial" w:cs="Arial"/>
          <w:sz w:val="20"/>
          <w:szCs w:val="20"/>
        </w:rPr>
        <w:t>AEC</w:t>
      </w:r>
      <w:r>
        <w:rPr>
          <w:rFonts w:ascii="Arial" w:hAnsi="Arial" w:cs="Arial"/>
          <w:sz w:val="20"/>
          <w:szCs w:val="20"/>
        </w:rPr>
        <w:t xml:space="preserve">’s view, the revised approach is preferable to that taken in the indicative drafting. </w:t>
      </w:r>
    </w:p>
    <w:p w:rsidR="00D03E9F" w:rsidRDefault="00D03E9F" w:rsidP="0024411C">
      <w:pPr>
        <w:jc w:val="both"/>
        <w:rPr>
          <w:rFonts w:ascii="Arial" w:hAnsi="Arial" w:cs="Arial"/>
          <w:sz w:val="20"/>
          <w:szCs w:val="20"/>
        </w:rPr>
      </w:pPr>
      <w:r>
        <w:rPr>
          <w:rFonts w:ascii="Arial" w:hAnsi="Arial" w:cs="Arial"/>
          <w:sz w:val="20"/>
          <w:szCs w:val="20"/>
        </w:rPr>
        <w:t xml:space="preserve">We acknowledge the short time frame that the AEMC faces to implement this rule change (if the AEMC decides to make a rule) and note that indicative drafting on the proposed revised dual fuel approach has not been provided as part of the AEMC’s consultation to date. We would welcome the opportunity to provide comment on the proposed drafting, if possible within the timeframes.  </w:t>
      </w:r>
    </w:p>
    <w:p w:rsidR="00D03E9F" w:rsidRDefault="00D03E9F" w:rsidP="00F63C21">
      <w:pPr>
        <w:rPr>
          <w:rFonts w:ascii="Arial" w:hAnsi="Arial" w:cs="Arial"/>
          <w:sz w:val="20"/>
          <w:szCs w:val="20"/>
        </w:rPr>
      </w:pPr>
    </w:p>
    <w:p w:rsidR="00D03E9F" w:rsidRDefault="00D03E9F" w:rsidP="00F63C21">
      <w:pPr>
        <w:rPr>
          <w:rFonts w:ascii="Arial" w:hAnsi="Arial" w:cs="Arial"/>
          <w:sz w:val="20"/>
          <w:szCs w:val="20"/>
        </w:rPr>
      </w:pPr>
      <w:r>
        <w:rPr>
          <w:rFonts w:ascii="Arial" w:hAnsi="Arial" w:cs="Arial"/>
          <w:sz w:val="20"/>
          <w:szCs w:val="20"/>
        </w:rPr>
        <w:t>Your</w:t>
      </w:r>
      <w:r w:rsidR="00FC6FFD">
        <w:rPr>
          <w:rFonts w:ascii="Arial" w:hAnsi="Arial" w:cs="Arial"/>
          <w:sz w:val="20"/>
          <w:szCs w:val="20"/>
        </w:rPr>
        <w:t>s</w:t>
      </w:r>
      <w:r>
        <w:rPr>
          <w:rFonts w:ascii="Arial" w:hAnsi="Arial" w:cs="Arial"/>
          <w:sz w:val="20"/>
          <w:szCs w:val="20"/>
        </w:rPr>
        <w:t xml:space="preserve"> sincerely</w:t>
      </w:r>
    </w:p>
    <w:p w:rsidR="003E2307" w:rsidRDefault="003E2307" w:rsidP="00F63C21">
      <w:pPr>
        <w:rPr>
          <w:rFonts w:ascii="Arial" w:hAnsi="Arial" w:cs="Arial"/>
          <w:sz w:val="20"/>
          <w:szCs w:val="20"/>
        </w:rPr>
      </w:pPr>
    </w:p>
    <w:p w:rsidR="00D03E9F" w:rsidRPr="00FC6FFD" w:rsidRDefault="00D03E9F" w:rsidP="00FC6FFD">
      <w:pPr>
        <w:spacing w:after="0"/>
        <w:rPr>
          <w:rFonts w:ascii="Arial" w:hAnsi="Arial" w:cs="Arial"/>
          <w:b/>
          <w:sz w:val="20"/>
          <w:szCs w:val="20"/>
        </w:rPr>
      </w:pPr>
      <w:r w:rsidRPr="00FC6FFD">
        <w:rPr>
          <w:rFonts w:ascii="Arial" w:hAnsi="Arial" w:cs="Arial"/>
          <w:b/>
          <w:sz w:val="20"/>
          <w:szCs w:val="20"/>
        </w:rPr>
        <w:t>Fiona Simon</w:t>
      </w:r>
    </w:p>
    <w:p w:rsidR="00D03E9F" w:rsidRDefault="00D03E9F" w:rsidP="00FC6FFD">
      <w:pPr>
        <w:spacing w:after="0"/>
        <w:rPr>
          <w:rFonts w:ascii="Arial" w:hAnsi="Arial" w:cs="Arial"/>
          <w:sz w:val="20"/>
          <w:szCs w:val="20"/>
        </w:rPr>
      </w:pPr>
      <w:r>
        <w:rPr>
          <w:rFonts w:ascii="Arial" w:hAnsi="Arial" w:cs="Arial"/>
          <w:sz w:val="20"/>
          <w:szCs w:val="20"/>
        </w:rPr>
        <w:t>Director Strategy</w:t>
      </w:r>
    </w:p>
    <w:p w:rsidR="00D03E9F" w:rsidRDefault="00D03E9F" w:rsidP="00FC6FFD">
      <w:pPr>
        <w:spacing w:after="0"/>
        <w:rPr>
          <w:rFonts w:ascii="Arial" w:hAnsi="Arial" w:cs="Arial"/>
          <w:sz w:val="20"/>
          <w:szCs w:val="20"/>
        </w:rPr>
      </w:pPr>
      <w:r>
        <w:rPr>
          <w:rFonts w:ascii="Arial" w:hAnsi="Arial" w:cs="Arial"/>
          <w:sz w:val="20"/>
          <w:szCs w:val="20"/>
        </w:rPr>
        <w:t>Australian Energy Council</w:t>
      </w:r>
    </w:p>
    <w:p w:rsidR="00647800" w:rsidRDefault="00647800" w:rsidP="00F63C21">
      <w:pPr>
        <w:rPr>
          <w:rFonts w:ascii="Arial" w:hAnsi="Arial" w:cs="Arial"/>
          <w:sz w:val="20"/>
          <w:szCs w:val="20"/>
        </w:rPr>
      </w:pPr>
    </w:p>
    <w:p w:rsidR="00532263" w:rsidRDefault="00532263" w:rsidP="00F63C21">
      <w:pPr>
        <w:rPr>
          <w:rFonts w:ascii="Arial" w:hAnsi="Arial" w:cs="Arial"/>
          <w:sz w:val="20"/>
          <w:szCs w:val="20"/>
        </w:rPr>
      </w:pPr>
    </w:p>
    <w:p w:rsidR="00535601" w:rsidRPr="0072480E" w:rsidRDefault="00535601" w:rsidP="00471E9F">
      <w:pPr>
        <w:rPr>
          <w:rFonts w:ascii="Arial" w:hAnsi="Arial" w:cs="Arial"/>
          <w:sz w:val="20"/>
          <w:szCs w:val="20"/>
        </w:rPr>
      </w:pPr>
    </w:p>
    <w:p w:rsidR="00814FEC" w:rsidRPr="0072480E" w:rsidRDefault="00814FEC" w:rsidP="00A3749E">
      <w:pPr>
        <w:pStyle w:val="AECletterbody"/>
        <w:rPr>
          <w:rFonts w:ascii="Arial" w:hAnsi="Arial" w:cs="Arial"/>
          <w:bCs/>
          <w:sz w:val="20"/>
          <w:szCs w:val="20"/>
          <w:lang w:val="en-AU"/>
        </w:rPr>
      </w:pPr>
    </w:p>
    <w:sectPr w:rsidR="00814FEC" w:rsidRPr="0072480E" w:rsidSect="007A1148">
      <w:headerReference w:type="default" r:id="rId9"/>
      <w:footerReference w:type="default" r:id="rId10"/>
      <w:headerReference w:type="first" r:id="rId11"/>
      <w:footerReference w:type="first" r:id="rId12"/>
      <w:pgSz w:w="11906" w:h="16838"/>
      <w:pgMar w:top="1418" w:right="1134" w:bottom="1440" w:left="1134" w:header="278"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4FB" w:rsidRDefault="008A24FB" w:rsidP="00FE756B">
      <w:r>
        <w:separator/>
      </w:r>
    </w:p>
  </w:endnote>
  <w:endnote w:type="continuationSeparator" w:id="0">
    <w:p w:rsidR="008A24FB" w:rsidRDefault="008A24FB" w:rsidP="00FE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OT-Light">
    <w:panose1 w:val="00000000000000000000"/>
    <w:charset w:val="00"/>
    <w:family w:val="modern"/>
    <w:notTrueType/>
    <w:pitch w:val="variable"/>
    <w:sig w:usb0="800000AF" w:usb1="4000206A" w:usb2="00000000" w:usb3="00000000" w:csb0="00000001" w:csb1="00000000"/>
  </w:font>
  <w:font w:name="Open Sans">
    <w:altName w:val="Verdana"/>
    <w:charset w:val="00"/>
    <w:family w:val="swiss"/>
    <w:pitch w:val="variable"/>
    <w:sig w:usb0="00000001"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DINOT-Medium">
    <w:panose1 w:val="00000000000000000000"/>
    <w:charset w:val="00"/>
    <w:family w:val="modern"/>
    <w:notTrueType/>
    <w:pitch w:val="variable"/>
    <w:sig w:usb0="800000AF" w:usb1="4000206A" w:usb2="00000000" w:usb3="00000000" w:csb0="00000001" w:csb1="00000000"/>
  </w:font>
  <w:font w:name="Arial">
    <w:panose1 w:val="020B0604020202020204"/>
    <w:charset w:val="00"/>
    <w:family w:val="swiss"/>
    <w:pitch w:val="variable"/>
    <w:sig w:usb0="E0002AFF" w:usb1="C0007843" w:usb2="00000009" w:usb3="00000000" w:csb0="000001FF" w:csb1="00000000"/>
  </w:font>
  <w:font w:name="DINPro-Light">
    <w:altName w:val="Arial"/>
    <w:panose1 w:val="00000000000000000000"/>
    <w:charset w:val="00"/>
    <w:family w:val="swiss"/>
    <w:notTrueType/>
    <w:pitch w:val="variable"/>
    <w:sig w:usb0="A00002BF" w:usb1="4000207B" w:usb2="00000008"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EAF" w:rsidRPr="00FB2CD5" w:rsidRDefault="007A1148" w:rsidP="007A1148">
    <w:pPr>
      <w:pStyle w:val="Footer"/>
      <w:tabs>
        <w:tab w:val="clear" w:pos="4513"/>
        <w:tab w:val="clear" w:pos="9026"/>
        <w:tab w:val="left" w:pos="4200"/>
      </w:tabs>
      <w:jc w:val="left"/>
      <w:rPr>
        <w:rFonts w:ascii="DINPro-Light" w:hAnsi="DINPro-Light" w:cs="DINPro-Light"/>
      </w:rPr>
    </w:pPr>
    <w:r>
      <w:rPr>
        <w:rFonts w:ascii="DINPro-Light" w:hAnsi="DINPro-Light" w:cs="DINPro-Light"/>
      </w:rPr>
      <w:tab/>
    </w:r>
    <w:r>
      <mc:AlternateContent>
        <mc:Choice Requires="wps">
          <w:drawing>
            <wp:anchor distT="0" distB="0" distL="114300" distR="114300" simplePos="0" relativeHeight="251665408" behindDoc="0" locked="0" layoutInCell="1" allowOverlap="1" wp14:anchorId="20BA1CFF" wp14:editId="1EF71E5B">
              <wp:simplePos x="0" y="0"/>
              <wp:positionH relativeFrom="column">
                <wp:posOffset>2392680</wp:posOffset>
              </wp:positionH>
              <wp:positionV relativeFrom="paragraph">
                <wp:posOffset>-58420</wp:posOffset>
              </wp:positionV>
              <wp:extent cx="1623060" cy="4953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95300"/>
                      </a:xfrm>
                      <a:prstGeom prst="rect">
                        <a:avLst/>
                      </a:prstGeom>
                      <a:noFill/>
                      <a:ln w="9525">
                        <a:noFill/>
                        <a:miter lim="800000"/>
                        <a:headEnd/>
                        <a:tailEnd/>
                      </a:ln>
                    </wps:spPr>
                    <wps:txbx>
                      <w:txbxContent>
                        <w:p w:rsidR="007A1148" w:rsidRPr="005A27D1" w:rsidRDefault="007A1148" w:rsidP="007A1148">
                          <w:pPr>
                            <w:pStyle w:val="AECFooter"/>
                            <w:ind w:left="720" w:hanging="720"/>
                            <w:rPr>
                              <w:rFonts w:cs="Arial"/>
                            </w:rPr>
                          </w:pPr>
                          <w:r w:rsidRPr="005A27D1">
                            <w:rPr>
                              <w:rFonts w:cs="Arial"/>
                            </w:rPr>
                            <w:t>P +61 3 9205 3100</w:t>
                          </w:r>
                        </w:p>
                        <w:p w:rsidR="007A1148" w:rsidRPr="005A27D1" w:rsidRDefault="007A1148" w:rsidP="007A1148">
                          <w:pPr>
                            <w:pStyle w:val="AECFooter"/>
                            <w:ind w:left="720" w:hanging="720"/>
                            <w:rPr>
                              <w:rFonts w:cs="Arial"/>
                            </w:rPr>
                          </w:pPr>
                          <w:r w:rsidRPr="005A27D1">
                            <w:rPr>
                              <w:rFonts w:cs="Arial"/>
                            </w:rPr>
                            <w:t>E info@energycouncil.com.au</w:t>
                          </w:r>
                        </w:p>
                        <w:p w:rsidR="007A1148" w:rsidRPr="005A27D1" w:rsidRDefault="007A1148" w:rsidP="007A1148">
                          <w:pPr>
                            <w:pStyle w:val="AECFooter"/>
                            <w:ind w:left="720" w:hanging="720"/>
                            <w:rPr>
                              <w:rFonts w:cs="Arial"/>
                            </w:rPr>
                          </w:pPr>
                          <w:r w:rsidRPr="005A27D1">
                            <w:rPr>
                              <w:rFonts w:cs="Arial"/>
                            </w:rPr>
                            <w:t>W energycouncil.com.au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A1CFF" id="_x0000_t202" coordsize="21600,21600" o:spt="202" path="m,l,21600r21600,l21600,xe">
              <v:stroke joinstyle="miter"/>
              <v:path gradientshapeok="t" o:connecttype="rect"/>
            </v:shapetype>
            <v:shape id="Text Box 6" o:spid="_x0000_s1026" type="#_x0000_t202" style="position:absolute;margin-left:188.4pt;margin-top:-4.6pt;width:127.8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" filled="f" stroked="f">
              <v:textbox inset="0,0,0,0">
                <w:txbxContent>
                  <w:p w:rsidR="007A1148" w:rsidRPr="005A27D1" w:rsidRDefault="007A1148" w:rsidP="007A1148">
                    <w:pPr>
                      <w:pStyle w:val="AECFooter"/>
                      <w:ind w:left="720" w:hanging="720"/>
                      <w:rPr>
                        <w:rFonts w:cs="Arial"/>
                      </w:rPr>
                    </w:pPr>
                    <w:r w:rsidRPr="005A27D1">
                      <w:rPr>
                        <w:rFonts w:cs="Arial"/>
                      </w:rPr>
                      <w:t>P +61 3 9205 3100</w:t>
                    </w:r>
                  </w:p>
                  <w:p w:rsidR="007A1148" w:rsidRPr="005A27D1" w:rsidRDefault="007A1148" w:rsidP="007A1148">
                    <w:pPr>
                      <w:pStyle w:val="AECFooter"/>
                      <w:ind w:left="720" w:hanging="720"/>
                      <w:rPr>
                        <w:rFonts w:cs="Arial"/>
                      </w:rPr>
                    </w:pPr>
                    <w:r w:rsidRPr="005A27D1">
                      <w:rPr>
                        <w:rFonts w:cs="Arial"/>
                      </w:rPr>
                      <w:t>E info@energycouncil.com.au</w:t>
                    </w:r>
                  </w:p>
                  <w:p w:rsidR="007A1148" w:rsidRPr="005A27D1" w:rsidRDefault="007A1148" w:rsidP="007A1148">
                    <w:pPr>
                      <w:pStyle w:val="AECFooter"/>
                      <w:ind w:left="720" w:hanging="720"/>
                      <w:rPr>
                        <w:rFonts w:cs="Arial"/>
                      </w:rPr>
                    </w:pPr>
                    <w:r w:rsidRPr="005A27D1">
                      <w:rPr>
                        <w:rFonts w:cs="Arial"/>
                      </w:rPr>
                      <w:t>W energycouncil.com.au</w:t>
                    </w:r>
                  </w:p>
                </w:txbxContent>
              </v:textbox>
            </v:shape>
          </w:pict>
        </mc:Fallback>
      </mc:AlternateContent>
    </w:r>
  </w:p>
  <w:p w:rsidR="00830EAF" w:rsidRDefault="007A1148" w:rsidP="007A1148">
    <w:pPr>
      <w:pStyle w:val="Footer"/>
      <w:tabs>
        <w:tab w:val="clear" w:pos="4513"/>
        <w:tab w:val="clear" w:pos="9026"/>
        <w:tab w:val="left" w:pos="7635"/>
      </w:tabs>
      <w:jc w:val="left"/>
    </w:pPr>
    <w:r>
      <mc:AlternateContent>
        <mc:Choice Requires="wps">
          <w:drawing>
            <wp:anchor distT="0" distB="0" distL="114300" distR="114300" simplePos="0" relativeHeight="251663360" behindDoc="0" locked="0" layoutInCell="1" allowOverlap="1" wp14:anchorId="7652D38C" wp14:editId="628A9ED7">
              <wp:simplePos x="0" y="0"/>
              <wp:positionH relativeFrom="column">
                <wp:posOffset>-34290</wp:posOffset>
              </wp:positionH>
              <wp:positionV relativeFrom="paragraph">
                <wp:posOffset>-193675</wp:posOffset>
              </wp:positionV>
              <wp:extent cx="2162175" cy="4953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95300"/>
                      </a:xfrm>
                      <a:prstGeom prst="rect">
                        <a:avLst/>
                      </a:prstGeom>
                      <a:noFill/>
                      <a:ln w="9525">
                        <a:noFill/>
                        <a:miter lim="800000"/>
                        <a:headEnd/>
                        <a:tailEnd/>
                      </a:ln>
                    </wps:spPr>
                    <wps:txbx>
                      <w:txbxContent>
                        <w:p w:rsidR="007A1148" w:rsidRPr="005A27D1" w:rsidRDefault="007A1148" w:rsidP="007A1148">
                          <w:pPr>
                            <w:pStyle w:val="AECFooter"/>
                            <w:rPr>
                              <w:rFonts w:cs="Arial"/>
                            </w:rPr>
                          </w:pPr>
                          <w:r w:rsidRPr="005A27D1">
                            <w:rPr>
                              <w:rFonts w:cs="Arial"/>
                            </w:rPr>
                            <w:t>Level 14, 50 Market Street</w:t>
                          </w:r>
                        </w:p>
                        <w:p w:rsidR="007A1148" w:rsidRPr="005A27D1" w:rsidRDefault="007A1148" w:rsidP="007A1148">
                          <w:pPr>
                            <w:pStyle w:val="AECFooter"/>
                            <w:rPr>
                              <w:rFonts w:cs="Arial"/>
                            </w:rPr>
                          </w:pPr>
                          <w:r w:rsidRPr="005A27D1">
                            <w:rPr>
                              <w:rFonts w:cs="Arial"/>
                            </w:rPr>
                            <w:t>Melbourne 3000</w:t>
                          </w:r>
                        </w:p>
                        <w:p w:rsidR="007A1148" w:rsidRPr="005A27D1" w:rsidRDefault="007A1148" w:rsidP="007A1148">
                          <w:pPr>
                            <w:pStyle w:val="AECFooter"/>
                            <w:rPr>
                              <w:rFonts w:cs="Arial"/>
                            </w:rPr>
                          </w:pPr>
                          <w:r w:rsidRPr="005A27D1">
                            <w:rPr>
                              <w:rFonts w:cs="Arial"/>
                            </w:rPr>
                            <w:t>GPO Box 1823 Melbourne Victoria 3001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2D38C" id="Text Box 2" o:spid="_x0000_s1027" type="#_x0000_t202" style="position:absolute;margin-left:-2.7pt;margin-top:-15.25pt;width:170.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" filled="f" stroked="f">
              <v:textbox inset="0,0,0,0">
                <w:txbxContent>
                  <w:p w:rsidR="007A1148" w:rsidRPr="005A27D1" w:rsidRDefault="007A1148" w:rsidP="007A1148">
                    <w:pPr>
                      <w:pStyle w:val="AECFooter"/>
                      <w:rPr>
                        <w:rFonts w:cs="Arial"/>
                      </w:rPr>
                    </w:pPr>
                    <w:r w:rsidRPr="005A27D1">
                      <w:rPr>
                        <w:rFonts w:cs="Arial"/>
                      </w:rPr>
                      <w:t>Level 14, 50 Market Street</w:t>
                    </w:r>
                  </w:p>
                  <w:p w:rsidR="007A1148" w:rsidRPr="005A27D1" w:rsidRDefault="007A1148" w:rsidP="007A1148">
                    <w:pPr>
                      <w:pStyle w:val="AECFooter"/>
                      <w:rPr>
                        <w:rFonts w:cs="Arial"/>
                      </w:rPr>
                    </w:pPr>
                    <w:r w:rsidRPr="005A27D1">
                      <w:rPr>
                        <w:rFonts w:cs="Arial"/>
                      </w:rPr>
                      <w:t>Melbourne 3000</w:t>
                    </w:r>
                  </w:p>
                  <w:p w:rsidR="007A1148" w:rsidRPr="005A27D1" w:rsidRDefault="007A1148" w:rsidP="007A1148">
                    <w:pPr>
                      <w:pStyle w:val="AECFooter"/>
                      <w:rPr>
                        <w:rFonts w:cs="Arial"/>
                      </w:rPr>
                    </w:pPr>
                    <w:r w:rsidRPr="005A27D1">
                      <w:rPr>
                        <w:rFonts w:cs="Arial"/>
                      </w:rPr>
                      <w:t>GPO Box 1823 Melbourne Victoria 3001</w:t>
                    </w:r>
                  </w:p>
                </w:txbxContent>
              </v:textbox>
            </v:shape>
          </w:pict>
        </mc:Fallback>
      </mc:AlternateContent>
    </w:r>
    <w:r>
      <w:tab/>
    </w:r>
    <w:r>
      <mc:AlternateContent>
        <mc:Choice Requires="wps">
          <w:drawing>
            <wp:anchor distT="0" distB="0" distL="114300" distR="114300" simplePos="0" relativeHeight="251667456" behindDoc="0" locked="0" layoutInCell="1" allowOverlap="1" wp14:anchorId="106432B4" wp14:editId="6EF9EC5E">
              <wp:simplePos x="0" y="0"/>
              <wp:positionH relativeFrom="column">
                <wp:posOffset>4339590</wp:posOffset>
              </wp:positionH>
              <wp:positionV relativeFrom="paragraph">
                <wp:posOffset>-196215</wp:posOffset>
              </wp:positionV>
              <wp:extent cx="2038350" cy="4953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w="9525">
                        <a:noFill/>
                        <a:miter lim="800000"/>
                        <a:headEnd/>
                        <a:tailEnd/>
                      </a:ln>
                    </wps:spPr>
                    <wps:txbx>
                      <w:txbxContent>
                        <w:p w:rsidR="007A1148" w:rsidRPr="005A27D1" w:rsidRDefault="007A1148" w:rsidP="007A1148">
                          <w:pPr>
                            <w:pStyle w:val="AECFooter"/>
                            <w:rPr>
                              <w:rFonts w:cs="Arial"/>
                            </w:rPr>
                          </w:pPr>
                          <w:r w:rsidRPr="005A27D1">
                            <w:rPr>
                              <w:rFonts w:cs="Arial"/>
                            </w:rPr>
                            <w:t>ABN 98 052 416 083</w:t>
                          </w:r>
                        </w:p>
                        <w:p w:rsidR="007A1148" w:rsidRPr="005A27D1" w:rsidRDefault="007A1148" w:rsidP="007A1148">
                          <w:pPr>
                            <w:pStyle w:val="AECFooter"/>
                            <w:rPr>
                              <w:rFonts w:cs="Arial"/>
                            </w:rPr>
                          </w:pPr>
                          <w:r w:rsidRPr="005A27D1">
                            <w:rPr>
                              <w:rFonts w:cs="Arial"/>
                            </w:rPr>
                            <w:t>©Australian Energy Council 201</w:t>
                          </w:r>
                          <w:r>
                            <w:rPr>
                              <w:rFonts w:cs="Arial"/>
                            </w:rPr>
                            <w:t>8</w:t>
                          </w:r>
                        </w:p>
                        <w:p w:rsidR="007A1148" w:rsidRPr="005A27D1" w:rsidRDefault="007A1148" w:rsidP="007A1148">
                          <w:pPr>
                            <w:pStyle w:val="AECFooter"/>
                            <w:rPr>
                              <w:rFonts w:cs="Arial"/>
                            </w:rPr>
                          </w:pPr>
                          <w:r w:rsidRPr="005A27D1">
                            <w:rPr>
                              <w:rFonts w:cs="Arial"/>
                            </w:rPr>
                            <w:t>All rights reserved.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432B4" id="Text Box 9" o:spid="_x0000_s1028" type="#_x0000_t202" style="position:absolute;margin-left:341.7pt;margin-top:-15.45pt;width:16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" filled="f" stroked="f">
              <v:textbox inset="0,0,0,0">
                <w:txbxContent>
                  <w:p w:rsidR="007A1148" w:rsidRPr="005A27D1" w:rsidRDefault="007A1148" w:rsidP="007A1148">
                    <w:pPr>
                      <w:pStyle w:val="AECFooter"/>
                      <w:rPr>
                        <w:rFonts w:cs="Arial"/>
                      </w:rPr>
                    </w:pPr>
                    <w:r w:rsidRPr="005A27D1">
                      <w:rPr>
                        <w:rFonts w:cs="Arial"/>
                      </w:rPr>
                      <w:t>ABN 98 052 416 083</w:t>
                    </w:r>
                  </w:p>
                  <w:p w:rsidR="007A1148" w:rsidRPr="005A27D1" w:rsidRDefault="007A1148" w:rsidP="007A1148">
                    <w:pPr>
                      <w:pStyle w:val="AECFooter"/>
                      <w:rPr>
                        <w:rFonts w:cs="Arial"/>
                      </w:rPr>
                    </w:pPr>
                    <w:r w:rsidRPr="005A27D1">
                      <w:rPr>
                        <w:rFonts w:cs="Arial"/>
                      </w:rPr>
                      <w:t>©Australian Energy Council 201</w:t>
                    </w:r>
                    <w:r>
                      <w:rPr>
                        <w:rFonts w:cs="Arial"/>
                      </w:rPr>
                      <w:t>8</w:t>
                    </w:r>
                  </w:p>
                  <w:p w:rsidR="007A1148" w:rsidRPr="005A27D1" w:rsidRDefault="007A1148" w:rsidP="007A1148">
                    <w:pPr>
                      <w:pStyle w:val="AECFooter"/>
                      <w:rPr>
                        <w:rFonts w:cs="Arial"/>
                      </w:rPr>
                    </w:pPr>
                    <w:r w:rsidRPr="005A27D1">
                      <w:rPr>
                        <w:rFonts w:cs="Arial"/>
                      </w:rPr>
                      <w:t>All rights reserved.</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515" w:rsidRDefault="007A1148" w:rsidP="007A1148">
    <w:pPr>
      <w:pStyle w:val="Footer"/>
      <w:tabs>
        <w:tab w:val="left" w:pos="3600"/>
        <w:tab w:val="right" w:pos="9638"/>
      </w:tabs>
      <w:jc w:val="left"/>
    </w:pPr>
    <w:r>
      <w:tab/>
    </w:r>
    <w:r>
      <w:tab/>
    </w:r>
    <w:r>
      <w:tab/>
    </w:r>
    <w:r>
      <w:tab/>
    </w:r>
    <w:r w:rsidR="00EC3FC6">
      <mc:AlternateContent>
        <mc:Choice Requires="wps">
          <w:drawing>
            <wp:anchor distT="0" distB="0" distL="114300" distR="114300" simplePos="0" relativeHeight="251655168" behindDoc="0" locked="0" layoutInCell="1" allowOverlap="1" wp14:anchorId="45CE257C" wp14:editId="1080E762">
              <wp:simplePos x="0" y="0"/>
              <wp:positionH relativeFrom="column">
                <wp:posOffset>2392680</wp:posOffset>
              </wp:positionH>
              <wp:positionV relativeFrom="paragraph">
                <wp:posOffset>-189865</wp:posOffset>
              </wp:positionV>
              <wp:extent cx="1623060" cy="495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95300"/>
                      </a:xfrm>
                      <a:prstGeom prst="rect">
                        <a:avLst/>
                      </a:prstGeom>
                      <a:noFill/>
                      <a:ln w="9525">
                        <a:noFill/>
                        <a:miter lim="800000"/>
                        <a:headEnd/>
                        <a:tailEnd/>
                      </a:ln>
                    </wps:spPr>
                    <wps:txbx>
                      <w:txbxContent>
                        <w:p w:rsidR="00426F04" w:rsidRPr="005A27D1" w:rsidRDefault="00426F04" w:rsidP="00DC789B">
                          <w:pPr>
                            <w:pStyle w:val="AECFooter"/>
                            <w:ind w:left="720" w:hanging="720"/>
                            <w:rPr>
                              <w:rFonts w:cs="Arial"/>
                            </w:rPr>
                          </w:pPr>
                          <w:r w:rsidRPr="005A27D1">
                            <w:rPr>
                              <w:rFonts w:cs="Arial"/>
                            </w:rPr>
                            <w:t>P</w:t>
                          </w:r>
                          <w:r w:rsidR="00471E9F" w:rsidRPr="005A27D1">
                            <w:rPr>
                              <w:rFonts w:cs="Arial"/>
                            </w:rPr>
                            <w:t xml:space="preserve"> </w:t>
                          </w:r>
                          <w:r w:rsidRPr="005A27D1">
                            <w:rPr>
                              <w:rFonts w:cs="Arial"/>
                            </w:rPr>
                            <w:t>+61 3 9205 3100</w:t>
                          </w:r>
                        </w:p>
                        <w:p w:rsidR="00426F04" w:rsidRPr="005A27D1" w:rsidRDefault="00426F04" w:rsidP="00DC789B">
                          <w:pPr>
                            <w:pStyle w:val="AECFooter"/>
                            <w:ind w:left="720" w:hanging="720"/>
                            <w:rPr>
                              <w:rFonts w:cs="Arial"/>
                            </w:rPr>
                          </w:pPr>
                          <w:r w:rsidRPr="005A27D1">
                            <w:rPr>
                              <w:rFonts w:cs="Arial"/>
                            </w:rPr>
                            <w:t>E</w:t>
                          </w:r>
                          <w:r w:rsidR="00471E9F" w:rsidRPr="005A27D1">
                            <w:rPr>
                              <w:rFonts w:cs="Arial"/>
                            </w:rPr>
                            <w:t xml:space="preserve"> </w:t>
                          </w:r>
                          <w:r w:rsidRPr="005A27D1">
                            <w:rPr>
                              <w:rFonts w:cs="Arial"/>
                            </w:rPr>
                            <w:t>info@energycouncil.com.au</w:t>
                          </w:r>
                        </w:p>
                        <w:p w:rsidR="00426F04" w:rsidRPr="005A27D1" w:rsidRDefault="00A60488" w:rsidP="00DC789B">
                          <w:pPr>
                            <w:pStyle w:val="AECFooter"/>
                            <w:ind w:left="720" w:hanging="720"/>
                            <w:rPr>
                              <w:rFonts w:cs="Arial"/>
                            </w:rPr>
                          </w:pPr>
                          <w:r w:rsidRPr="005A27D1">
                            <w:rPr>
                              <w:rFonts w:cs="Arial"/>
                            </w:rPr>
                            <w:t>W</w:t>
                          </w:r>
                          <w:r w:rsidR="00471E9F" w:rsidRPr="005A27D1">
                            <w:rPr>
                              <w:rFonts w:cs="Arial"/>
                            </w:rPr>
                            <w:t xml:space="preserve"> </w:t>
                          </w:r>
                          <w:r w:rsidR="00426F04" w:rsidRPr="005A27D1">
                            <w:rPr>
                              <w:rFonts w:cs="Arial"/>
                            </w:rPr>
                            <w:t>energycouncil.com.au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E257C" id="_x0000_t202" coordsize="21600,21600" o:spt="202" path="m,l,21600r21600,l21600,xe">
              <v:stroke joinstyle="miter"/>
              <v:path gradientshapeok="t" o:connecttype="rect"/>
            </v:shapetype>
            <v:shape id="_x0000_s1029" type="#_x0000_t202" style="position:absolute;margin-left:188.4pt;margin-top:-14.95pt;width:127.8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" filled="f" stroked="f">
              <v:textbox inset="0,0,0,0">
                <w:txbxContent>
                  <w:p w:rsidR="00426F04" w:rsidRPr="005A27D1" w:rsidRDefault="00426F04" w:rsidP="00DC789B">
                    <w:pPr>
                      <w:pStyle w:val="AECFooter"/>
                      <w:ind w:left="720" w:hanging="720"/>
                      <w:rPr>
                        <w:rFonts w:cs="Arial"/>
                      </w:rPr>
                    </w:pPr>
                    <w:r w:rsidRPr="005A27D1">
                      <w:rPr>
                        <w:rFonts w:cs="Arial"/>
                      </w:rPr>
                      <w:t>P</w:t>
                    </w:r>
                    <w:r w:rsidR="00471E9F" w:rsidRPr="005A27D1">
                      <w:rPr>
                        <w:rFonts w:cs="Arial"/>
                      </w:rPr>
                      <w:t xml:space="preserve"> </w:t>
                    </w:r>
                    <w:r w:rsidRPr="005A27D1">
                      <w:rPr>
                        <w:rFonts w:cs="Arial"/>
                      </w:rPr>
                      <w:t>+61 3 9205 3100</w:t>
                    </w:r>
                  </w:p>
                  <w:p w:rsidR="00426F04" w:rsidRPr="005A27D1" w:rsidRDefault="00426F04" w:rsidP="00DC789B">
                    <w:pPr>
                      <w:pStyle w:val="AECFooter"/>
                      <w:ind w:left="720" w:hanging="720"/>
                      <w:rPr>
                        <w:rFonts w:cs="Arial"/>
                      </w:rPr>
                    </w:pPr>
                    <w:r w:rsidRPr="005A27D1">
                      <w:rPr>
                        <w:rFonts w:cs="Arial"/>
                      </w:rPr>
                      <w:t>E</w:t>
                    </w:r>
                    <w:r w:rsidR="00471E9F" w:rsidRPr="005A27D1">
                      <w:rPr>
                        <w:rFonts w:cs="Arial"/>
                      </w:rPr>
                      <w:t xml:space="preserve"> </w:t>
                    </w:r>
                    <w:r w:rsidRPr="005A27D1">
                      <w:rPr>
                        <w:rFonts w:cs="Arial"/>
                      </w:rPr>
                      <w:t>info@energycouncil.com.au</w:t>
                    </w:r>
                  </w:p>
                  <w:p w:rsidR="00426F04" w:rsidRPr="005A27D1" w:rsidRDefault="00A60488" w:rsidP="00DC789B">
                    <w:pPr>
                      <w:pStyle w:val="AECFooter"/>
                      <w:ind w:left="720" w:hanging="720"/>
                      <w:rPr>
                        <w:rFonts w:cs="Arial"/>
                      </w:rPr>
                    </w:pPr>
                    <w:r w:rsidRPr="005A27D1">
                      <w:rPr>
                        <w:rFonts w:cs="Arial"/>
                      </w:rPr>
                      <w:t>W</w:t>
                    </w:r>
                    <w:r w:rsidR="00471E9F" w:rsidRPr="005A27D1">
                      <w:rPr>
                        <w:rFonts w:cs="Arial"/>
                      </w:rPr>
                      <w:t xml:space="preserve"> </w:t>
                    </w:r>
                    <w:r w:rsidR="00426F04" w:rsidRPr="005A27D1">
                      <w:rPr>
                        <w:rFonts w:cs="Arial"/>
                      </w:rPr>
                      <w:t>energycouncil.com.au</w:t>
                    </w:r>
                  </w:p>
                </w:txbxContent>
              </v:textbox>
            </v:shape>
          </w:pict>
        </mc:Fallback>
      </mc:AlternateContent>
    </w:r>
    <w:r w:rsidR="00EC3FC6">
      <mc:AlternateContent>
        <mc:Choice Requires="wps">
          <w:drawing>
            <wp:anchor distT="0" distB="0" distL="114300" distR="114300" simplePos="0" relativeHeight="251654144" behindDoc="0" locked="0" layoutInCell="1" allowOverlap="1" wp14:anchorId="3C394C34" wp14:editId="7D2D4A2B">
              <wp:simplePos x="0" y="0"/>
              <wp:positionH relativeFrom="column">
                <wp:posOffset>-34290</wp:posOffset>
              </wp:positionH>
              <wp:positionV relativeFrom="paragraph">
                <wp:posOffset>-193675</wp:posOffset>
              </wp:positionV>
              <wp:extent cx="2162175" cy="4953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95300"/>
                      </a:xfrm>
                      <a:prstGeom prst="rect">
                        <a:avLst/>
                      </a:prstGeom>
                      <a:noFill/>
                      <a:ln w="9525">
                        <a:noFill/>
                        <a:miter lim="800000"/>
                        <a:headEnd/>
                        <a:tailEnd/>
                      </a:ln>
                    </wps:spPr>
                    <wps:txbx>
                      <w:txbxContent>
                        <w:p w:rsidR="00426F04" w:rsidRPr="005A27D1" w:rsidRDefault="00426F04" w:rsidP="00426F04">
                          <w:pPr>
                            <w:pStyle w:val="AECFooter"/>
                            <w:rPr>
                              <w:rFonts w:cs="Arial"/>
                            </w:rPr>
                          </w:pPr>
                          <w:r w:rsidRPr="005A27D1">
                            <w:rPr>
                              <w:rFonts w:cs="Arial"/>
                            </w:rPr>
                            <w:t>Level 14, 50 Market Street</w:t>
                          </w:r>
                        </w:p>
                        <w:p w:rsidR="00426F04" w:rsidRPr="005A27D1" w:rsidRDefault="00426F04" w:rsidP="00426F04">
                          <w:pPr>
                            <w:pStyle w:val="AECFooter"/>
                            <w:rPr>
                              <w:rFonts w:cs="Arial"/>
                            </w:rPr>
                          </w:pPr>
                          <w:r w:rsidRPr="005A27D1">
                            <w:rPr>
                              <w:rFonts w:cs="Arial"/>
                            </w:rPr>
                            <w:t>Melbourne 3000</w:t>
                          </w:r>
                        </w:p>
                        <w:p w:rsidR="00426F04" w:rsidRPr="005A27D1" w:rsidRDefault="00426F04" w:rsidP="00426F04">
                          <w:pPr>
                            <w:pStyle w:val="AECFooter"/>
                            <w:rPr>
                              <w:rFonts w:cs="Arial"/>
                            </w:rPr>
                          </w:pPr>
                          <w:r w:rsidRPr="005A27D1">
                            <w:rPr>
                              <w:rFonts w:cs="Arial"/>
                            </w:rPr>
                            <w:t>GPO Box 1823 Melbourne Victoria 3001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94C34" id="_x0000_s1030" type="#_x0000_t202" style="position:absolute;margin-left:-2.7pt;margin-top:-15.25pt;width:170.25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" filled="f" stroked="f">
              <v:textbox inset="0,0,0,0">
                <w:txbxContent>
                  <w:p w:rsidR="00426F04" w:rsidRPr="005A27D1" w:rsidRDefault="00426F04" w:rsidP="00426F04">
                    <w:pPr>
                      <w:pStyle w:val="AECFooter"/>
                      <w:rPr>
                        <w:rFonts w:cs="Arial"/>
                      </w:rPr>
                    </w:pPr>
                    <w:r w:rsidRPr="005A27D1">
                      <w:rPr>
                        <w:rFonts w:cs="Arial"/>
                      </w:rPr>
                      <w:t>Level 14, 50 Market Street</w:t>
                    </w:r>
                  </w:p>
                  <w:p w:rsidR="00426F04" w:rsidRPr="005A27D1" w:rsidRDefault="00426F04" w:rsidP="00426F04">
                    <w:pPr>
                      <w:pStyle w:val="AECFooter"/>
                      <w:rPr>
                        <w:rFonts w:cs="Arial"/>
                      </w:rPr>
                    </w:pPr>
                    <w:r w:rsidRPr="005A27D1">
                      <w:rPr>
                        <w:rFonts w:cs="Arial"/>
                      </w:rPr>
                      <w:t>Melbourne 3000</w:t>
                    </w:r>
                  </w:p>
                  <w:p w:rsidR="00426F04" w:rsidRPr="005A27D1" w:rsidRDefault="00426F04" w:rsidP="00426F04">
                    <w:pPr>
                      <w:pStyle w:val="AECFooter"/>
                      <w:rPr>
                        <w:rFonts w:cs="Arial"/>
                      </w:rPr>
                    </w:pPr>
                    <w:r w:rsidRPr="005A27D1">
                      <w:rPr>
                        <w:rFonts w:cs="Arial"/>
                      </w:rPr>
                      <w:t>GPO Box 1823 Melbourne Victoria 3001</w:t>
                    </w:r>
                  </w:p>
                </w:txbxContent>
              </v:textbox>
            </v:shape>
          </w:pict>
        </mc:Fallback>
      </mc:AlternateContent>
    </w:r>
    <w:r w:rsidR="00EC3FC6">
      <mc:AlternateContent>
        <mc:Choice Requires="wps">
          <w:drawing>
            <wp:anchor distT="0" distB="0" distL="114300" distR="114300" simplePos="0" relativeHeight="251656192" behindDoc="0" locked="0" layoutInCell="1" allowOverlap="1" wp14:anchorId="4D83474F" wp14:editId="40538CEC">
              <wp:simplePos x="0" y="0"/>
              <wp:positionH relativeFrom="column">
                <wp:posOffset>4339590</wp:posOffset>
              </wp:positionH>
              <wp:positionV relativeFrom="paragraph">
                <wp:posOffset>-196215</wp:posOffset>
              </wp:positionV>
              <wp:extent cx="2038350" cy="4953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w="9525">
                        <a:noFill/>
                        <a:miter lim="800000"/>
                        <a:headEnd/>
                        <a:tailEnd/>
                      </a:ln>
                    </wps:spPr>
                    <wps:txbx>
                      <w:txbxContent>
                        <w:p w:rsidR="00426F04" w:rsidRPr="005A27D1" w:rsidRDefault="00426F04" w:rsidP="00426F04">
                          <w:pPr>
                            <w:pStyle w:val="AECFooter"/>
                            <w:rPr>
                              <w:rFonts w:cs="Arial"/>
                            </w:rPr>
                          </w:pPr>
                          <w:r w:rsidRPr="005A27D1">
                            <w:rPr>
                              <w:rFonts w:cs="Arial"/>
                            </w:rPr>
                            <w:t>ABN 98 052 416 083</w:t>
                          </w:r>
                        </w:p>
                        <w:p w:rsidR="00426F04" w:rsidRPr="005A27D1" w:rsidRDefault="00426F04" w:rsidP="00426F04">
                          <w:pPr>
                            <w:pStyle w:val="AECFooter"/>
                            <w:rPr>
                              <w:rFonts w:cs="Arial"/>
                            </w:rPr>
                          </w:pPr>
                          <w:r w:rsidRPr="005A27D1">
                            <w:rPr>
                              <w:rFonts w:cs="Arial"/>
                            </w:rPr>
                            <w:t xml:space="preserve">©Australian Energy Council </w:t>
                          </w:r>
                          <w:r w:rsidR="00AD0BB2" w:rsidRPr="005A27D1">
                            <w:rPr>
                              <w:rFonts w:cs="Arial"/>
                            </w:rPr>
                            <w:t>201</w:t>
                          </w:r>
                          <w:r w:rsidR="00AD0BB2">
                            <w:rPr>
                              <w:rFonts w:cs="Arial"/>
                            </w:rPr>
                            <w:t>8</w:t>
                          </w:r>
                        </w:p>
                        <w:p w:rsidR="00426F04" w:rsidRPr="005A27D1" w:rsidRDefault="00426F04" w:rsidP="00426F04">
                          <w:pPr>
                            <w:pStyle w:val="AECFooter"/>
                            <w:rPr>
                              <w:rFonts w:cs="Arial"/>
                            </w:rPr>
                          </w:pPr>
                          <w:r w:rsidRPr="005A27D1">
                            <w:rPr>
                              <w:rFonts w:cs="Arial"/>
                            </w:rPr>
                            <w:t>All rights reserved.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3474F" id="Text Box 5" o:spid="_x0000_s1031" type="#_x0000_t202" style="position:absolute;margin-left:341.7pt;margin-top:-15.45pt;width:160.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" filled="f" stroked="f">
              <v:textbox inset="0,0,0,0">
                <w:txbxContent>
                  <w:p w:rsidR="00426F04" w:rsidRPr="005A27D1" w:rsidRDefault="00426F04" w:rsidP="00426F04">
                    <w:pPr>
                      <w:pStyle w:val="AECFooter"/>
                      <w:rPr>
                        <w:rFonts w:cs="Arial"/>
                      </w:rPr>
                    </w:pPr>
                    <w:r w:rsidRPr="005A27D1">
                      <w:rPr>
                        <w:rFonts w:cs="Arial"/>
                      </w:rPr>
                      <w:t>ABN 98 052 416 083</w:t>
                    </w:r>
                  </w:p>
                  <w:p w:rsidR="00426F04" w:rsidRPr="005A27D1" w:rsidRDefault="00426F04" w:rsidP="00426F04">
                    <w:pPr>
                      <w:pStyle w:val="AECFooter"/>
                      <w:rPr>
                        <w:rFonts w:cs="Arial"/>
                      </w:rPr>
                    </w:pPr>
                    <w:r w:rsidRPr="005A27D1">
                      <w:rPr>
                        <w:rFonts w:cs="Arial"/>
                      </w:rPr>
                      <w:t xml:space="preserve">©Australian Energy Council </w:t>
                    </w:r>
                    <w:r w:rsidR="00AD0BB2" w:rsidRPr="005A27D1">
                      <w:rPr>
                        <w:rFonts w:cs="Arial"/>
                      </w:rPr>
                      <w:t>201</w:t>
                    </w:r>
                    <w:r w:rsidR="00AD0BB2">
                      <w:rPr>
                        <w:rFonts w:cs="Arial"/>
                      </w:rPr>
                      <w:t>8</w:t>
                    </w:r>
                  </w:p>
                  <w:p w:rsidR="00426F04" w:rsidRPr="005A27D1" w:rsidRDefault="00426F04" w:rsidP="00426F04">
                    <w:pPr>
                      <w:pStyle w:val="AECFooter"/>
                      <w:rPr>
                        <w:rFonts w:cs="Arial"/>
                      </w:rPr>
                    </w:pPr>
                    <w:r w:rsidRPr="005A27D1">
                      <w:rPr>
                        <w:rFonts w:cs="Arial"/>
                      </w:rPr>
                      <w:t>All rights reserved.</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4FB" w:rsidRDefault="008A24FB" w:rsidP="00FE756B">
      <w:r>
        <w:separator/>
      </w:r>
    </w:p>
  </w:footnote>
  <w:footnote w:type="continuationSeparator" w:id="0">
    <w:p w:rsidR="008A24FB" w:rsidRDefault="008A24FB" w:rsidP="00FE7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FD" w:rsidRDefault="00FC6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E9" w:rsidRPr="00381A73" w:rsidRDefault="006872E9" w:rsidP="00FE756B">
    <w:pPr>
      <w:pStyle w:val="Header"/>
      <w:rPr>
        <w:rFonts w:ascii="Arial" w:hAnsi="Arial" w:cs="Arial"/>
      </w:rPr>
    </w:pPr>
  </w:p>
  <w:p w:rsidR="006872E9" w:rsidRPr="00381A73" w:rsidRDefault="006872E9" w:rsidP="00FE756B">
    <w:pPr>
      <w:pStyle w:val="Header"/>
      <w:rPr>
        <w:rFonts w:ascii="Arial" w:hAnsi="Arial" w:cs="Arial"/>
      </w:rPr>
    </w:pPr>
  </w:p>
  <w:p w:rsidR="006872E9" w:rsidRPr="00381A73" w:rsidRDefault="006872E9" w:rsidP="00FE756B">
    <w:pPr>
      <w:pStyle w:val="Header"/>
      <w:rPr>
        <w:rFonts w:ascii="Arial" w:hAnsi="Arial" w:cs="Arial"/>
      </w:rPr>
    </w:pPr>
  </w:p>
  <w:p w:rsidR="006872E9" w:rsidRPr="00381A73" w:rsidRDefault="00CC3820" w:rsidP="00FE756B">
    <w:pPr>
      <w:pStyle w:val="Header"/>
      <w:rPr>
        <w:rFonts w:ascii="Arial" w:hAnsi="Arial" w:cs="Arial"/>
      </w:rPr>
    </w:pPr>
    <w:r w:rsidRPr="00381A73">
      <w:rPr>
        <w:rFonts w:ascii="Arial" w:hAnsi="Arial" w:cs="Arial"/>
        <w:noProof/>
        <w:lang w:eastAsia="en-AU"/>
      </w:rPr>
      <w:drawing>
        <wp:anchor distT="0" distB="0" distL="114300" distR="114300" simplePos="0" relativeHeight="251657216" behindDoc="1" locked="0" layoutInCell="1" allowOverlap="1" wp14:anchorId="14AADA83" wp14:editId="798D8903">
          <wp:simplePos x="0" y="0"/>
          <wp:positionH relativeFrom="margin">
            <wp:posOffset>3827145</wp:posOffset>
          </wp:positionH>
          <wp:positionV relativeFrom="paragraph">
            <wp:posOffset>80010</wp:posOffset>
          </wp:positionV>
          <wp:extent cx="2292985" cy="842010"/>
          <wp:effectExtent l="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985"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3820" w:rsidRPr="00381A73" w:rsidRDefault="00CC3820" w:rsidP="00FE756B">
    <w:pPr>
      <w:pStyle w:val="Header"/>
      <w:rPr>
        <w:rFonts w:ascii="Arial" w:hAnsi="Arial" w:cs="Arial"/>
      </w:rPr>
    </w:pPr>
  </w:p>
  <w:p w:rsidR="006872E9" w:rsidRPr="00381A73" w:rsidRDefault="006872E9" w:rsidP="00FE756B">
    <w:pPr>
      <w:pStyle w:val="Header"/>
      <w:rPr>
        <w:rFonts w:ascii="Arial" w:hAnsi="Arial" w:cs="Arial"/>
      </w:rPr>
    </w:pPr>
  </w:p>
  <w:p w:rsidR="00CC3820" w:rsidRPr="00381A73" w:rsidRDefault="00CC3820" w:rsidP="00FE756B">
    <w:pPr>
      <w:pStyle w:val="Header"/>
      <w:rPr>
        <w:rFonts w:ascii="Arial" w:hAnsi="Arial" w:cs="Arial"/>
      </w:rPr>
    </w:pPr>
  </w:p>
  <w:p w:rsidR="00CC3820" w:rsidRPr="00381A73" w:rsidRDefault="00CC3820" w:rsidP="00FE756B">
    <w:pPr>
      <w:pStyle w:val="Header"/>
      <w:rPr>
        <w:rFonts w:ascii="Arial" w:hAnsi="Arial" w:cs="Arial"/>
      </w:rPr>
    </w:pPr>
  </w:p>
  <w:p w:rsidR="006872E9" w:rsidRDefault="006872E9" w:rsidP="00FE756B">
    <w:pPr>
      <w:pStyle w:val="Header"/>
    </w:pPr>
  </w:p>
  <w:p w:rsidR="004C5515" w:rsidRDefault="004C5515" w:rsidP="00FE75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46E2F"/>
    <w:multiLevelType w:val="hybridMultilevel"/>
    <w:tmpl w:val="B7FE3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361B16"/>
    <w:multiLevelType w:val="hybridMultilevel"/>
    <w:tmpl w:val="B9743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3B635D"/>
    <w:multiLevelType w:val="hybridMultilevel"/>
    <w:tmpl w:val="5CA2295E"/>
    <w:lvl w:ilvl="0" w:tplc="FAFA0E80">
      <w:numFmt w:val="bullet"/>
      <w:lvlText w:val=""/>
      <w:lvlJc w:val="left"/>
      <w:pPr>
        <w:ind w:left="1440" w:hanging="72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FC37F76"/>
    <w:multiLevelType w:val="hybridMultilevel"/>
    <w:tmpl w:val="495CD8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FD50F10"/>
    <w:multiLevelType w:val="hybridMultilevel"/>
    <w:tmpl w:val="38685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CE6681"/>
    <w:multiLevelType w:val="hybridMultilevel"/>
    <w:tmpl w:val="6D4A0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C6"/>
    <w:rsid w:val="000008AC"/>
    <w:rsid w:val="00002F01"/>
    <w:rsid w:val="000829AB"/>
    <w:rsid w:val="000E70FA"/>
    <w:rsid w:val="000E7472"/>
    <w:rsid w:val="000F15FE"/>
    <w:rsid w:val="001027B0"/>
    <w:rsid w:val="00103C1E"/>
    <w:rsid w:val="00111521"/>
    <w:rsid w:val="00115FA8"/>
    <w:rsid w:val="00124E40"/>
    <w:rsid w:val="00131080"/>
    <w:rsid w:val="001410D0"/>
    <w:rsid w:val="00143AB6"/>
    <w:rsid w:val="001B1F29"/>
    <w:rsid w:val="001D5646"/>
    <w:rsid w:val="001E3AF4"/>
    <w:rsid w:val="00214B9D"/>
    <w:rsid w:val="0021693B"/>
    <w:rsid w:val="00222B26"/>
    <w:rsid w:val="0022521D"/>
    <w:rsid w:val="0024411C"/>
    <w:rsid w:val="002532CB"/>
    <w:rsid w:val="00260B84"/>
    <w:rsid w:val="002716FE"/>
    <w:rsid w:val="00273B08"/>
    <w:rsid w:val="002A409B"/>
    <w:rsid w:val="002B321B"/>
    <w:rsid w:val="002C35C4"/>
    <w:rsid w:val="002D3D52"/>
    <w:rsid w:val="00330457"/>
    <w:rsid w:val="00340E9B"/>
    <w:rsid w:val="00355E4F"/>
    <w:rsid w:val="00360792"/>
    <w:rsid w:val="003737EA"/>
    <w:rsid w:val="00377142"/>
    <w:rsid w:val="00381A73"/>
    <w:rsid w:val="00384E88"/>
    <w:rsid w:val="0039121E"/>
    <w:rsid w:val="003A0879"/>
    <w:rsid w:val="003E2307"/>
    <w:rsid w:val="00421700"/>
    <w:rsid w:val="00426F04"/>
    <w:rsid w:val="0043295C"/>
    <w:rsid w:val="0043773E"/>
    <w:rsid w:val="00447ABB"/>
    <w:rsid w:val="00460B96"/>
    <w:rsid w:val="00471E9F"/>
    <w:rsid w:val="004C5515"/>
    <w:rsid w:val="004C6F30"/>
    <w:rsid w:val="004C7F9C"/>
    <w:rsid w:val="005034CE"/>
    <w:rsid w:val="00510205"/>
    <w:rsid w:val="00510B86"/>
    <w:rsid w:val="005149B7"/>
    <w:rsid w:val="00520481"/>
    <w:rsid w:val="00532263"/>
    <w:rsid w:val="00535601"/>
    <w:rsid w:val="00555D2A"/>
    <w:rsid w:val="00574C49"/>
    <w:rsid w:val="005955CB"/>
    <w:rsid w:val="005A27D1"/>
    <w:rsid w:val="005A390B"/>
    <w:rsid w:val="005F75A2"/>
    <w:rsid w:val="005F7A2A"/>
    <w:rsid w:val="006058D5"/>
    <w:rsid w:val="006067E6"/>
    <w:rsid w:val="006112EC"/>
    <w:rsid w:val="006148F1"/>
    <w:rsid w:val="00616523"/>
    <w:rsid w:val="00626EF0"/>
    <w:rsid w:val="00647800"/>
    <w:rsid w:val="00652119"/>
    <w:rsid w:val="0065757D"/>
    <w:rsid w:val="00663413"/>
    <w:rsid w:val="006872E9"/>
    <w:rsid w:val="006C3C21"/>
    <w:rsid w:val="006C762F"/>
    <w:rsid w:val="006E3E84"/>
    <w:rsid w:val="006E7C5F"/>
    <w:rsid w:val="00711992"/>
    <w:rsid w:val="00720810"/>
    <w:rsid w:val="00720C61"/>
    <w:rsid w:val="0072480E"/>
    <w:rsid w:val="007604D2"/>
    <w:rsid w:val="00791B18"/>
    <w:rsid w:val="00795C46"/>
    <w:rsid w:val="007A1148"/>
    <w:rsid w:val="007D1F3F"/>
    <w:rsid w:val="007D70C4"/>
    <w:rsid w:val="007E05CF"/>
    <w:rsid w:val="007F46AF"/>
    <w:rsid w:val="007F6DE2"/>
    <w:rsid w:val="00814FEC"/>
    <w:rsid w:val="00830CBF"/>
    <w:rsid w:val="00830EAF"/>
    <w:rsid w:val="008474CC"/>
    <w:rsid w:val="00876BF9"/>
    <w:rsid w:val="00892F09"/>
    <w:rsid w:val="00896E8D"/>
    <w:rsid w:val="008A24FB"/>
    <w:rsid w:val="008A69C9"/>
    <w:rsid w:val="008D292A"/>
    <w:rsid w:val="00915E01"/>
    <w:rsid w:val="0094193C"/>
    <w:rsid w:val="009434AC"/>
    <w:rsid w:val="00947926"/>
    <w:rsid w:val="00957613"/>
    <w:rsid w:val="00983B31"/>
    <w:rsid w:val="009A13BB"/>
    <w:rsid w:val="009B6E37"/>
    <w:rsid w:val="009C6A8E"/>
    <w:rsid w:val="009E343E"/>
    <w:rsid w:val="009F54A5"/>
    <w:rsid w:val="00A15D25"/>
    <w:rsid w:val="00A20DDC"/>
    <w:rsid w:val="00A3749E"/>
    <w:rsid w:val="00A4333D"/>
    <w:rsid w:val="00A46981"/>
    <w:rsid w:val="00A6008B"/>
    <w:rsid w:val="00A60488"/>
    <w:rsid w:val="00A8713E"/>
    <w:rsid w:val="00A92EF0"/>
    <w:rsid w:val="00A95E72"/>
    <w:rsid w:val="00AA2161"/>
    <w:rsid w:val="00AB253D"/>
    <w:rsid w:val="00AD0BB2"/>
    <w:rsid w:val="00AD3299"/>
    <w:rsid w:val="00AE1822"/>
    <w:rsid w:val="00AE3EBD"/>
    <w:rsid w:val="00AF394E"/>
    <w:rsid w:val="00AF57A5"/>
    <w:rsid w:val="00B5201B"/>
    <w:rsid w:val="00B560EF"/>
    <w:rsid w:val="00B70DAF"/>
    <w:rsid w:val="00B73164"/>
    <w:rsid w:val="00BA1626"/>
    <w:rsid w:val="00BC48E7"/>
    <w:rsid w:val="00BE6AB1"/>
    <w:rsid w:val="00BF54C8"/>
    <w:rsid w:val="00C04571"/>
    <w:rsid w:val="00C2126E"/>
    <w:rsid w:val="00C565A7"/>
    <w:rsid w:val="00C64005"/>
    <w:rsid w:val="00C67CAE"/>
    <w:rsid w:val="00C72AE8"/>
    <w:rsid w:val="00C72AF8"/>
    <w:rsid w:val="00C72CEA"/>
    <w:rsid w:val="00C813E4"/>
    <w:rsid w:val="00C81B8D"/>
    <w:rsid w:val="00C87F21"/>
    <w:rsid w:val="00C922A5"/>
    <w:rsid w:val="00C95282"/>
    <w:rsid w:val="00C97502"/>
    <w:rsid w:val="00CC3820"/>
    <w:rsid w:val="00CE17C1"/>
    <w:rsid w:val="00CE578E"/>
    <w:rsid w:val="00CF1F26"/>
    <w:rsid w:val="00CF5304"/>
    <w:rsid w:val="00CF5539"/>
    <w:rsid w:val="00CF7DD1"/>
    <w:rsid w:val="00D0021F"/>
    <w:rsid w:val="00D01F44"/>
    <w:rsid w:val="00D03E9F"/>
    <w:rsid w:val="00D2456F"/>
    <w:rsid w:val="00D26BC0"/>
    <w:rsid w:val="00D36662"/>
    <w:rsid w:val="00D5224E"/>
    <w:rsid w:val="00D54668"/>
    <w:rsid w:val="00D743AB"/>
    <w:rsid w:val="00D761D5"/>
    <w:rsid w:val="00D8551D"/>
    <w:rsid w:val="00D92E2F"/>
    <w:rsid w:val="00D94B3B"/>
    <w:rsid w:val="00DC38BB"/>
    <w:rsid w:val="00DC789B"/>
    <w:rsid w:val="00E00B9D"/>
    <w:rsid w:val="00E12FB3"/>
    <w:rsid w:val="00E14725"/>
    <w:rsid w:val="00E2426D"/>
    <w:rsid w:val="00E74211"/>
    <w:rsid w:val="00E9151C"/>
    <w:rsid w:val="00E977A2"/>
    <w:rsid w:val="00EC3FC6"/>
    <w:rsid w:val="00EC74EA"/>
    <w:rsid w:val="00EE50A9"/>
    <w:rsid w:val="00EF3BEB"/>
    <w:rsid w:val="00F0444B"/>
    <w:rsid w:val="00F06F32"/>
    <w:rsid w:val="00F10F56"/>
    <w:rsid w:val="00F2382A"/>
    <w:rsid w:val="00F25637"/>
    <w:rsid w:val="00F30159"/>
    <w:rsid w:val="00F63C21"/>
    <w:rsid w:val="00F82D4F"/>
    <w:rsid w:val="00F96377"/>
    <w:rsid w:val="00FB1763"/>
    <w:rsid w:val="00FB2CD5"/>
    <w:rsid w:val="00FC1793"/>
    <w:rsid w:val="00FC6C17"/>
    <w:rsid w:val="00FC6FFD"/>
    <w:rsid w:val="00FD3973"/>
    <w:rsid w:val="00FE756B"/>
    <w:rsid w:val="00FF6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30159"/>
    <w:pPr>
      <w:spacing w:after="120"/>
    </w:pPr>
    <w:rPr>
      <w:rFonts w:ascii="DINOT-Light" w:hAnsi="DINOT-Light" w:cs="Open Sans"/>
      <w:sz w:val="18"/>
      <w:szCs w:val="18"/>
      <w:lang w:eastAsia="en-US"/>
    </w:rPr>
  </w:style>
  <w:style w:type="paragraph" w:styleId="Heading1">
    <w:name w:val="heading 1"/>
    <w:basedOn w:val="Normal"/>
    <w:link w:val="Heading1Char"/>
    <w:uiPriority w:val="9"/>
    <w:qFormat/>
    <w:rsid w:val="00E12FB3"/>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Atableno1">
    <w:name w:val="EA table no1"/>
    <w:basedOn w:val="MediumShading2"/>
    <w:uiPriority w:val="99"/>
    <w:rsid w:val="00E2426D"/>
    <w:rPr>
      <w:rFonts w:ascii="Verdana" w:hAnsi="Verdana"/>
      <w:sz w:val="16"/>
    </w:rPr>
    <w:tblPr>
      <w:tblInd w:w="227" w:type="dxa"/>
      <w:tblBorders>
        <w:top w:val="none" w:sz="0" w:space="0" w:color="auto"/>
        <w:bottom w:val="none" w:sz="0" w:space="0" w:color="auto"/>
        <w:insideV w:val="single" w:sz="12" w:space="0" w:color="FFFFFF"/>
      </w:tblBorders>
      <w:tblCellMar>
        <w:left w:w="227" w:type="dxa"/>
        <w:right w:w="227" w:type="dxa"/>
      </w:tblCellMar>
    </w:tblPr>
    <w:tcPr>
      <w:shd w:val="clear" w:color="auto" w:fill="D9D9D9"/>
      <w:tcMar>
        <w:top w:w="113" w:type="dxa"/>
        <w:bottom w:w="113" w:type="dxa"/>
      </w:tcMar>
    </w:tcPr>
    <w:tblStylePr w:type="firstRow">
      <w:pPr>
        <w:spacing w:before="0" w:after="0" w:line="240" w:lineRule="auto"/>
        <w:jc w:val="left"/>
      </w:pPr>
      <w:rPr>
        <w:rFonts w:ascii="DINOT-Medium" w:hAnsi="DINOT-Medium"/>
        <w:b/>
        <w:bCs/>
        <w:color w:val="92D050"/>
        <w:sz w:val="16"/>
      </w:rPr>
      <w:tblPr/>
      <w:tcPr>
        <w:tcBorders>
          <w:top w:val="nil"/>
          <w:left w:val="nil"/>
          <w:bottom w:val="nil"/>
          <w:right w:val="nil"/>
          <w:insideH w:val="nil"/>
          <w:insideV w:val="single" w:sz="12" w:space="0" w:color="FFFFFF"/>
        </w:tcBorders>
        <w:shd w:val="clear" w:color="auto" w:fill="000000"/>
        <w:vAlign w:val="center"/>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pPr>
        <w:wordWrap/>
        <w:jc w:val="left"/>
      </w:pPr>
      <w:rPr>
        <w:rFonts w:ascii="DINOT-Medium" w:hAnsi="DINOT-Medium"/>
        <w:b/>
        <w:bCs/>
        <w:color w:val="auto"/>
        <w:sz w:val="16"/>
      </w:rPr>
      <w:tblPr/>
      <w:tcPr>
        <w:tcBorders>
          <w:top w:val="nil"/>
          <w:left w:val="nil"/>
          <w:bottom w:val="nil"/>
          <w:right w:val="nil"/>
          <w:insideH w:val="nil"/>
          <w:insideV w:val="nil"/>
          <w:tl2br w:val="nil"/>
          <w:tr2bl w:val="nil"/>
        </w:tcBorders>
        <w:shd w:val="clear" w:color="auto" w:fill="D9D9D9"/>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E242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est2">
    <w:name w:val="test2"/>
    <w:basedOn w:val="MediumShading1-Accent3"/>
    <w:uiPriority w:val="99"/>
    <w:rsid w:val="00E00B9D"/>
    <w:pPr>
      <w:jc w:val="right"/>
    </w:pPr>
    <w:rPr>
      <w:rFonts w:ascii="Arial" w:hAnsi="Arial"/>
    </w:rP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pPr>
        <w:jc w:val="left"/>
      </w:pPr>
      <w:rPr>
        <w:b/>
        <w:bCs/>
      </w:rPr>
    </w:tblStylePr>
    <w:tblStylePr w:type="lastCol">
      <w:rPr>
        <w:b/>
        <w:bCs/>
      </w:rPr>
    </w:tblStylePr>
    <w:tblStylePr w:type="band1Vert">
      <w:tblPr/>
      <w:tcPr>
        <w:shd w:val="clear" w:color="auto" w:fill="E6EED5"/>
      </w:tcPr>
    </w:tblStylePr>
    <w:tblStylePr w:type="band2Vert">
      <w:pPr>
        <w:jc w:val="left"/>
      </w:pPr>
      <w:rPr>
        <w:color w:val="auto"/>
      </w:r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00B9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Header">
    <w:name w:val="header"/>
    <w:basedOn w:val="Normal"/>
    <w:link w:val="HeaderChar"/>
    <w:uiPriority w:val="99"/>
    <w:semiHidden/>
    <w:rsid w:val="00830EAF"/>
    <w:pPr>
      <w:tabs>
        <w:tab w:val="center" w:pos="4513"/>
        <w:tab w:val="right" w:pos="9026"/>
      </w:tabs>
      <w:spacing w:after="0"/>
    </w:pPr>
  </w:style>
  <w:style w:type="character" w:customStyle="1" w:styleId="HeaderChar">
    <w:name w:val="Header Char"/>
    <w:link w:val="Header"/>
    <w:uiPriority w:val="99"/>
    <w:semiHidden/>
    <w:rsid w:val="00F30159"/>
    <w:rPr>
      <w:rFonts w:ascii="DINOT-Light" w:hAnsi="DINOT-Light" w:cs="Open Sans"/>
      <w:sz w:val="18"/>
      <w:szCs w:val="18"/>
    </w:rPr>
  </w:style>
  <w:style w:type="paragraph" w:styleId="Footer">
    <w:name w:val="footer"/>
    <w:basedOn w:val="Normal"/>
    <w:link w:val="FooterChar"/>
    <w:uiPriority w:val="99"/>
    <w:semiHidden/>
    <w:rsid w:val="002B321B"/>
    <w:pPr>
      <w:tabs>
        <w:tab w:val="center" w:pos="4513"/>
        <w:tab w:val="right" w:pos="9026"/>
      </w:tabs>
      <w:spacing w:after="0"/>
      <w:jc w:val="right"/>
    </w:pPr>
    <w:rPr>
      <w:noProof/>
      <w:color w:val="08A4E0"/>
      <w:lang w:eastAsia="en-AU"/>
    </w:rPr>
  </w:style>
  <w:style w:type="character" w:customStyle="1" w:styleId="FooterChar">
    <w:name w:val="Footer Char"/>
    <w:link w:val="Footer"/>
    <w:uiPriority w:val="99"/>
    <w:semiHidden/>
    <w:rsid w:val="00F30159"/>
    <w:rPr>
      <w:rFonts w:ascii="DINOT-Light" w:hAnsi="DINOT-Light" w:cs="Open Sans"/>
      <w:noProof/>
      <w:color w:val="08A4E0"/>
      <w:sz w:val="18"/>
      <w:szCs w:val="18"/>
      <w:lang w:eastAsia="en-AU"/>
    </w:rPr>
  </w:style>
  <w:style w:type="paragraph" w:customStyle="1" w:styleId="AECletterbody">
    <w:name w:val="AEC letter body"/>
    <w:basedOn w:val="Normal"/>
    <w:uiPriority w:val="99"/>
    <w:rsid w:val="00421700"/>
    <w:pPr>
      <w:suppressAutoHyphens/>
      <w:autoSpaceDE w:val="0"/>
      <w:autoSpaceDN w:val="0"/>
      <w:adjustRightInd w:val="0"/>
      <w:spacing w:after="240" w:line="240" w:lineRule="atLeast"/>
      <w:textAlignment w:val="center"/>
    </w:pPr>
    <w:rPr>
      <w:rFonts w:ascii="DINPro-Light" w:hAnsi="DINPro-Light"/>
      <w:color w:val="000000"/>
      <w:lang w:val="en-US"/>
    </w:rPr>
  </w:style>
  <w:style w:type="paragraph" w:customStyle="1" w:styleId="letterbody">
    <w:name w:val="letter body"/>
    <w:basedOn w:val="Normal"/>
    <w:uiPriority w:val="99"/>
    <w:semiHidden/>
    <w:rsid w:val="00555D2A"/>
    <w:pPr>
      <w:suppressAutoHyphens/>
      <w:autoSpaceDE w:val="0"/>
      <w:autoSpaceDN w:val="0"/>
      <w:adjustRightInd w:val="0"/>
      <w:spacing w:after="220" w:line="240" w:lineRule="atLeast"/>
      <w:textAlignment w:val="center"/>
    </w:pPr>
    <w:rPr>
      <w:color w:val="000000"/>
      <w:lang w:val="en-US"/>
    </w:rPr>
  </w:style>
  <w:style w:type="paragraph" w:customStyle="1" w:styleId="BasicParagraph">
    <w:name w:val="[Basic Paragraph]"/>
    <w:basedOn w:val="Normal"/>
    <w:uiPriority w:val="99"/>
    <w:semiHidden/>
    <w:rsid w:val="00143AB6"/>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AECAddresslines">
    <w:name w:val="AEC Address lines"/>
    <w:basedOn w:val="BasicParagraph"/>
    <w:qFormat/>
    <w:rsid w:val="00421700"/>
    <w:pPr>
      <w:spacing w:line="240" w:lineRule="auto"/>
    </w:pPr>
    <w:rPr>
      <w:rFonts w:ascii="DINPro-Light" w:hAnsi="DINPro-Light" w:cs="DINOT-Light"/>
      <w:sz w:val="20"/>
      <w:szCs w:val="20"/>
    </w:rPr>
  </w:style>
  <w:style w:type="paragraph" w:customStyle="1" w:styleId="AECFooter">
    <w:name w:val="AEC Footer"/>
    <w:basedOn w:val="AECAddresslines"/>
    <w:qFormat/>
    <w:rsid w:val="00330457"/>
    <w:rPr>
      <w:rFonts w:ascii="Arial" w:hAnsi="Arial" w:cs="DINOT-Medium"/>
      <w:sz w:val="18"/>
      <w:szCs w:val="18"/>
    </w:rPr>
  </w:style>
  <w:style w:type="character" w:styleId="Hyperlink">
    <w:name w:val="Hyperlink"/>
    <w:unhideWhenUsed/>
    <w:rsid w:val="00471E9F"/>
    <w:rPr>
      <w:color w:val="00A3D6"/>
      <w:u w:val="single"/>
    </w:rPr>
  </w:style>
  <w:style w:type="paragraph" w:styleId="FootnoteText">
    <w:name w:val="footnote text"/>
    <w:basedOn w:val="Normal"/>
    <w:link w:val="FootnoteTextChar"/>
    <w:semiHidden/>
    <w:rsid w:val="00C72CEA"/>
    <w:pPr>
      <w:spacing w:after="0"/>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C72CEA"/>
    <w:rPr>
      <w:rFonts w:ascii="Times New Roman" w:eastAsia="Times New Roman" w:hAnsi="Times New Roman"/>
    </w:rPr>
  </w:style>
  <w:style w:type="character" w:styleId="FootnoteReference">
    <w:name w:val="footnote reference"/>
    <w:basedOn w:val="DefaultParagraphFont"/>
    <w:semiHidden/>
    <w:rsid w:val="00C72CEA"/>
    <w:rPr>
      <w:vertAlign w:val="superscript"/>
    </w:rPr>
  </w:style>
  <w:style w:type="paragraph" w:customStyle="1" w:styleId="Default">
    <w:name w:val="Default"/>
    <w:rsid w:val="0051020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A6008B"/>
    <w:rPr>
      <w:sz w:val="16"/>
      <w:szCs w:val="16"/>
    </w:rPr>
  </w:style>
  <w:style w:type="paragraph" w:styleId="CommentText">
    <w:name w:val="annotation text"/>
    <w:basedOn w:val="Normal"/>
    <w:link w:val="CommentTextChar"/>
    <w:uiPriority w:val="99"/>
    <w:semiHidden/>
    <w:unhideWhenUsed/>
    <w:rsid w:val="00A6008B"/>
    <w:rPr>
      <w:sz w:val="20"/>
      <w:szCs w:val="20"/>
    </w:rPr>
  </w:style>
  <w:style w:type="character" w:customStyle="1" w:styleId="CommentTextChar">
    <w:name w:val="Comment Text Char"/>
    <w:basedOn w:val="DefaultParagraphFont"/>
    <w:link w:val="CommentText"/>
    <w:uiPriority w:val="99"/>
    <w:semiHidden/>
    <w:rsid w:val="00A6008B"/>
    <w:rPr>
      <w:rFonts w:ascii="DINOT-Light" w:hAnsi="DINOT-Light" w:cs="Open Sans"/>
      <w:lang w:eastAsia="en-US"/>
    </w:rPr>
  </w:style>
  <w:style w:type="paragraph" w:styleId="CommentSubject">
    <w:name w:val="annotation subject"/>
    <w:basedOn w:val="CommentText"/>
    <w:next w:val="CommentText"/>
    <w:link w:val="CommentSubjectChar"/>
    <w:uiPriority w:val="99"/>
    <w:semiHidden/>
    <w:unhideWhenUsed/>
    <w:rsid w:val="00A6008B"/>
    <w:rPr>
      <w:b/>
      <w:bCs/>
    </w:rPr>
  </w:style>
  <w:style w:type="character" w:customStyle="1" w:styleId="CommentSubjectChar">
    <w:name w:val="Comment Subject Char"/>
    <w:basedOn w:val="CommentTextChar"/>
    <w:link w:val="CommentSubject"/>
    <w:uiPriority w:val="99"/>
    <w:semiHidden/>
    <w:rsid w:val="00A6008B"/>
    <w:rPr>
      <w:rFonts w:ascii="DINOT-Light" w:hAnsi="DINOT-Light" w:cs="Open Sans"/>
      <w:b/>
      <w:bCs/>
      <w:lang w:eastAsia="en-US"/>
    </w:rPr>
  </w:style>
  <w:style w:type="paragraph" w:styleId="BalloonText">
    <w:name w:val="Balloon Text"/>
    <w:basedOn w:val="Normal"/>
    <w:link w:val="BalloonTextChar"/>
    <w:uiPriority w:val="99"/>
    <w:semiHidden/>
    <w:unhideWhenUsed/>
    <w:rsid w:val="00A6008B"/>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A6008B"/>
    <w:rPr>
      <w:rFonts w:ascii="Segoe UI" w:hAnsi="Segoe UI" w:cs="Segoe UI"/>
      <w:sz w:val="18"/>
      <w:szCs w:val="18"/>
      <w:lang w:eastAsia="en-US"/>
    </w:rPr>
  </w:style>
  <w:style w:type="paragraph" w:styleId="ListParagraph">
    <w:name w:val="List Paragraph"/>
    <w:basedOn w:val="Normal"/>
    <w:uiPriority w:val="34"/>
    <w:qFormat/>
    <w:rsid w:val="001027B0"/>
    <w:pPr>
      <w:spacing w:after="0"/>
      <w:ind w:left="720"/>
      <w:contextualSpacing/>
    </w:pPr>
    <w:rPr>
      <w:rFonts w:ascii="Calibri" w:eastAsia="Times New Roman" w:hAnsi="Calibri" w:cs="Times New Roman"/>
      <w:sz w:val="22"/>
      <w:szCs w:val="22"/>
    </w:rPr>
  </w:style>
  <w:style w:type="character" w:customStyle="1" w:styleId="Heading1Char">
    <w:name w:val="Heading 1 Char"/>
    <w:basedOn w:val="DefaultParagraphFont"/>
    <w:link w:val="Heading1"/>
    <w:uiPriority w:val="9"/>
    <w:rsid w:val="00E12FB3"/>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12628">
      <w:bodyDiv w:val="1"/>
      <w:marLeft w:val="0"/>
      <w:marRight w:val="0"/>
      <w:marTop w:val="0"/>
      <w:marBottom w:val="0"/>
      <w:divBdr>
        <w:top w:val="none" w:sz="0" w:space="0" w:color="auto"/>
        <w:left w:val="none" w:sz="0" w:space="0" w:color="auto"/>
        <w:bottom w:val="none" w:sz="0" w:space="0" w:color="auto"/>
        <w:right w:val="none" w:sz="0" w:space="0" w:color="auto"/>
      </w:divBdr>
    </w:div>
    <w:div w:id="1197040921">
      <w:bodyDiv w:val="1"/>
      <w:marLeft w:val="0"/>
      <w:marRight w:val="0"/>
      <w:marTop w:val="0"/>
      <w:marBottom w:val="0"/>
      <w:divBdr>
        <w:top w:val="none" w:sz="0" w:space="0" w:color="auto"/>
        <w:left w:val="none" w:sz="0" w:space="0" w:color="auto"/>
        <w:bottom w:val="none" w:sz="0" w:space="0" w:color="auto"/>
        <w:right w:val="none" w:sz="0" w:space="0" w:color="auto"/>
      </w:divBdr>
    </w:div>
    <w:div w:id="16177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m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6558E-69ED-42FF-91B8-004DFA39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6000</CharactersWithSpaces>
  <SharedDoc>false</SharedDoc>
  <HLinks>
    <vt:vector size="6" baseType="variant">
      <vt:variant>
        <vt:i4>6553675</vt:i4>
      </vt:variant>
      <vt:variant>
        <vt:i4>0</vt:i4>
      </vt:variant>
      <vt:variant>
        <vt:i4>0</vt:i4>
      </vt:variant>
      <vt:variant>
        <vt:i4>5</vt:i4>
      </vt:variant>
      <vt:variant>
        <vt:lpwstr>mailto:panos.priftakis@esaa.com.au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2018-04-17T00:52:00Z</dcterms:created>
  <dcterms:modified xsi:type="dcterms:W3CDTF">2018-04-17T00:55:00Z</dcterms:modified>
</cp:coreProperties>
</file>