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50D9D" w14:textId="588AEB19" w:rsidR="00DE4861" w:rsidRPr="00612CDD" w:rsidRDefault="00DE4861">
      <w:pPr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</w:pPr>
      <w:bookmarkStart w:id="0" w:name="_GoBack"/>
      <w:bookmarkEnd w:id="0"/>
      <w:r w:rsidRPr="00612CDD">
        <w:rPr>
          <w:rFonts w:ascii="Gill Sans MT" w:hAnsi="Gill Sans MT"/>
          <w:b/>
        </w:rPr>
        <w:t>Advance Notice of Price Changes – AEMC Rule Change Consultation – Formal feedback from the Department of State Growth (Tasmania) – (RRC0015)</w:t>
      </w:r>
    </w:p>
    <w:p w14:paraId="1C05F994" w14:textId="70E808F9" w:rsidR="00DA3538" w:rsidRPr="00612CDD" w:rsidRDefault="008D4892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Department of State Growth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is pleased to provide feedback on the proposed rule change regarding a</w:t>
      </w:r>
      <w:r w:rsidR="00E6203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dvance notice of price changes.</w:t>
      </w:r>
    </w:p>
    <w:p w14:paraId="7ED5BA71" w14:textId="20C5E684" w:rsidR="00081963" w:rsidRPr="00612CDD" w:rsidRDefault="00081963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Department is supportive of changes that improve outcomes for customers, both in relation to choice and price.</w:t>
      </w:r>
    </w:p>
    <w:p w14:paraId="20E8AAAF" w14:textId="4D9FBC7A" w:rsidR="00AE2A04" w:rsidRPr="00612CDD" w:rsidRDefault="0060583E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Department understands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that t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he intent of the rule change is to allow customers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to be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given advance notice o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f upcoming tariff changes.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This is intended to provide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customers, armed with knowledge of </w:t>
      </w:r>
      <w:r w:rsidR="00F23657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future tariff increases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,</w:t>
      </w:r>
      <w:r w:rsidR="00B72B4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with the opportunity to</w:t>
      </w:r>
      <w:r w:rsidR="00B72B4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shop around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for a new retailer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B72B4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at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 potentially lower cost</w:t>
      </w:r>
      <w:r w:rsidR="000474C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of energy</w:t>
      </w:r>
      <w:r w:rsidR="00DE486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general policy intent</w:t>
      </w:r>
      <w:r w:rsidR="00D438E9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of this change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supported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However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in Tasmania the ability for customers to achieve this </w:t>
      </w:r>
      <w:r w:rsidR="009947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outcome 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is </w:t>
      </w:r>
      <w:r w:rsidR="005D14B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currently </w:t>
      </w:r>
      <w:r w:rsidR="008E021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limited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as 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Tasmania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9947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has only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one retailer participating in </w:t>
      </w:r>
      <w:r w:rsidR="009947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residential customer market and electricity prices for households and small businesses are regulated.</w:t>
      </w:r>
    </w:p>
    <w:p w14:paraId="15979476" w14:textId="4BBB8FF3" w:rsidR="0058637A" w:rsidRPr="00612CDD" w:rsidRDefault="0004075F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he NERR already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has Rules that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specify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how retailers </w:t>
      </w:r>
      <w:r w:rsidR="00F14F6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are to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notify</w:t>
      </w:r>
      <w:r w:rsidR="00B72B4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electricity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customers</w:t>
      </w:r>
      <w:r w:rsidR="00786441" w:rsidRPr="00612CDD">
        <w:rPr>
          <w:rStyle w:val="FootnoteReference"/>
          <w:rFonts w:ascii="Gill Sans MT" w:hAnsi="Gill Sans MT" w:cs="Arial"/>
          <w:color w:val="2C2C2C"/>
          <w:sz w:val="21"/>
          <w:szCs w:val="21"/>
          <w:shd w:val="clear" w:color="auto" w:fill="FFFFFF"/>
        </w:rPr>
        <w:footnoteReference w:id="1"/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of tariff changes.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Department contends that t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he existing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Rules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are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sufficient</w:t>
      </w:r>
      <w:r w:rsidR="001F2F1B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for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customers</w:t>
      </w:r>
      <w:r w:rsidR="001F2F1B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on regulated s</w:t>
      </w:r>
      <w:r w:rsidR="00410A0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tanding offer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</w:p>
    <w:p w14:paraId="710B54C1" w14:textId="525AFE7A" w:rsidR="004342B1" w:rsidRPr="00612CDD" w:rsidRDefault="00081963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major concern is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with 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application of this rule to the majority of Tasmania’s customer base on standing offer contracts with regulated pricing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(some 250 000 customers)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, who are not subject to frequent price changes</w:t>
      </w:r>
      <w:r w:rsidR="00F14F6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,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and who are not able to select an alternate retailer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</w:p>
    <w:p w14:paraId="4A6E2E9D" w14:textId="1CC80A5B" w:rsidR="00387E82" w:rsidRPr="00612CDD" w:rsidRDefault="00387E82" w:rsidP="00387E82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Department agrees that there may be benefits to the proposed Rule for customers on market offers</w:t>
      </w:r>
      <w:r w:rsidR="009528B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, as under the current Rules retailers can structure market contracts so that tariffs can </w:t>
      </w:r>
      <w:r w:rsidR="00BD3F5D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potentially </w:t>
      </w:r>
      <w:r w:rsidR="009528B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be changed frequently</w:t>
      </w:r>
      <w:r w:rsidR="002D74B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with</w:t>
      </w:r>
      <w:r w:rsidR="00BD3F5D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o</w:t>
      </w:r>
      <w:r w:rsidR="002D74B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u</w:t>
      </w:r>
      <w:r w:rsidR="00BD3F5D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 prior notice</w:t>
      </w:r>
      <w:r w:rsidR="009528B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</w:p>
    <w:p w14:paraId="7940F73C" w14:textId="7CA3A8BB" w:rsidR="005B258E" w:rsidRPr="00612CDD" w:rsidRDefault="00387E82" w:rsidP="000474C8">
      <w:pPr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 xml:space="preserve">The Department’s view is that the proposed Rule should not apply to regulated standing offer contracts in jurisdictions where </w:t>
      </w:r>
      <w:r w:rsidR="00081963"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>effective</w:t>
      </w:r>
      <w:r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 xml:space="preserve"> retail competition </w:t>
      </w:r>
      <w:r w:rsidR="00081963"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>is not yet evident</w:t>
      </w:r>
      <w:r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>. This could be achieved by implementing an exemption in the final Rule.</w:t>
      </w:r>
    </w:p>
    <w:p w14:paraId="730224F3" w14:textId="4D716D6D" w:rsidR="00AE2A04" w:rsidRPr="00612CDD" w:rsidRDefault="008D4892" w:rsidP="00AE2A04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The Department </w:t>
      </w:r>
      <w:r w:rsidR="0042643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support</w:t>
      </w:r>
      <w:r w:rsidR="002D74B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</w:t>
      </w:r>
      <w:r w:rsidR="0042643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an exemption option within the Final Rule Change</w:t>
      </w:r>
      <w:r w:rsidR="00C566CB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that would apply to regulated standing offer customers in Tasmania</w:t>
      </w:r>
      <w:r w:rsidR="0042643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5B258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If </w:t>
      </w:r>
      <w:r w:rsidR="009947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the profile of the retail market in Tasmania changes </w:t>
      </w:r>
      <w:r w:rsidR="00AE285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then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the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suggested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exemption under the Rule 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may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no longer apply and 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Tasmanian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retailers would </w:t>
      </w:r>
      <w:r w:rsidR="00DA7187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then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be required to provide the </w:t>
      </w:r>
      <w:r w:rsidR="00F14F6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proposed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advanced notice provisions.</w:t>
      </w:r>
    </w:p>
    <w:p w14:paraId="2B73BC51" w14:textId="64032749" w:rsidR="00DE4861" w:rsidRPr="00612CDD" w:rsidRDefault="00DE4861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Department has three key</w:t>
      </w:r>
      <w:r w:rsidR="0060583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(interrelated)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concerns with the proposed rule change</w:t>
      </w:r>
      <w:r w:rsidR="00776617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:</w:t>
      </w:r>
    </w:p>
    <w:p w14:paraId="120C2C1F" w14:textId="7D74EBF0" w:rsidR="00DE4861" w:rsidRPr="00612CDD" w:rsidRDefault="00E8093C" w:rsidP="00DE4861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 xml:space="preserve">Single retailer </w:t>
      </w:r>
      <w:r w:rsidR="0099476F"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>and standing offer contracts</w:t>
      </w:r>
    </w:p>
    <w:p w14:paraId="780559AE" w14:textId="37CFFCD4" w:rsidR="00DE4861" w:rsidRPr="00612CDD" w:rsidRDefault="008B7568" w:rsidP="008B7568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As noted, the basis of this rule change is to notify </w:t>
      </w:r>
      <w:r w:rsidR="009530F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customers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in advance of price changes, which </w:t>
      </w:r>
      <w:r w:rsidR="005D14B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may prompt them to shop around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with other retail </w:t>
      </w:r>
      <w:r w:rsidR="00B72B4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offers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9947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here is </w:t>
      </w:r>
      <w:r w:rsidR="009947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only one retailer participating in the residential market and prices for households and small businesses are set by the Tasmanian Economic Regulator on an annual basis. 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Therefore the key intended outcome of the rule change</w:t>
      </w:r>
      <w:r w:rsidR="005B258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cannot be realised in Tasmania</w:t>
      </w:r>
      <w:r w:rsidR="0048699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at this point in time</w:t>
      </w:r>
      <w:r w:rsidR="009C122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</w:p>
    <w:p w14:paraId="004E5FCD" w14:textId="77777777" w:rsidR="00DE4861" w:rsidRPr="00612CDD" w:rsidRDefault="00DE4861" w:rsidP="008B7568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</w:p>
    <w:p w14:paraId="59BDEB0D" w14:textId="38AB5013" w:rsidR="00DE4861" w:rsidRPr="00612CDD" w:rsidRDefault="00DE4861" w:rsidP="00DE4861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 xml:space="preserve">There will be costs to implementation but </w:t>
      </w:r>
      <w:r w:rsidR="007F6529"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 xml:space="preserve">limited </w:t>
      </w:r>
      <w:r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>benefits to customers</w:t>
      </w:r>
    </w:p>
    <w:p w14:paraId="255E1CBE" w14:textId="496EBC97" w:rsidR="008B7568" w:rsidRPr="00612CDD" w:rsidRDefault="008B7568" w:rsidP="00DE4861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There will be costs of implementing this rule change. Aurora Energy </w:t>
      </w:r>
      <w:r w:rsidR="00F14F6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estimates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that the cost of mailing out a notification to each 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of its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customers on 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regulated 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standing offers </w:t>
      </w:r>
      <w:r w:rsidR="00F14F6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could be </w:t>
      </w:r>
      <w:r w:rsidR="00E6203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up to</w:t>
      </w:r>
      <w:r w:rsidR="00F14F6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$300 000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This cost is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lastRenderedPageBreak/>
        <w:t xml:space="preserve">then likely to be recovered </w:t>
      </w:r>
      <w:r w:rsidR="00D438E9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by the business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in full, or in part, from customers</w:t>
      </w:r>
      <w:r w:rsidR="00D438E9" w:rsidRPr="00612CDD">
        <w:rPr>
          <w:rStyle w:val="FootnoteReference"/>
          <w:rFonts w:ascii="Gill Sans MT" w:hAnsi="Gill Sans MT" w:cs="Arial"/>
          <w:color w:val="2C2C2C"/>
          <w:sz w:val="21"/>
          <w:szCs w:val="21"/>
          <w:shd w:val="clear" w:color="auto" w:fill="FFFFFF"/>
        </w:rPr>
        <w:footnoteReference w:id="2"/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  <w:r w:rsidR="000474C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The method of notification, and contents of the notification, are yet to be decided and it may be possible to minimise costs through use of alternate notification methods such as </w:t>
      </w:r>
      <w:r w:rsidR="009C122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using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text message</w:t>
      </w:r>
      <w:r w:rsidR="009C122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or email</w:t>
      </w:r>
      <w:r w:rsidR="009C122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 These methods pose</w:t>
      </w:r>
      <w:r w:rsidR="00AE2A04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their own different</w:t>
      </w:r>
      <w:r w:rsidR="0042643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issues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and </w:t>
      </w:r>
      <w:r w:rsidR="009C122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will still 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represent a cost to the 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retailer and its 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customer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A57DD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Given that there is 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only one retailer participating in the residential customer market the</w:t>
      </w:r>
      <w:r w:rsidR="00A57DD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notice itself, irrespective of its form and cost, will not provide </w:t>
      </w:r>
      <w:r w:rsidR="0022387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much benefit to </w:t>
      </w:r>
      <w:r w:rsidR="00A57DD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customers.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The Department considers that the cost associated with the rule change proposal will eventually be borne by customers, but without any significant benefit to customers.</w:t>
      </w:r>
    </w:p>
    <w:p w14:paraId="607E2A28" w14:textId="77777777" w:rsidR="004342B1" w:rsidRPr="00612CDD" w:rsidRDefault="004342B1" w:rsidP="00DE4861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</w:p>
    <w:p w14:paraId="1B710DC5" w14:textId="42685439" w:rsidR="003F75C6" w:rsidRPr="00612CDD" w:rsidRDefault="007F6529" w:rsidP="00F7435C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>The proposed rule change predominately seeks to address issues with market offers where prices may be changed much more frequently.</w:t>
      </w:r>
    </w:p>
    <w:p w14:paraId="4B8BD3E7" w14:textId="589B1B08" w:rsidR="00420EA2" w:rsidRPr="00612CDD" w:rsidRDefault="009530FE" w:rsidP="008B7568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Most of the</w:t>
      </w:r>
      <w:r w:rsidR="008B756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arguments </w:t>
      </w:r>
      <w:r w:rsidR="00F7435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in support of </w:t>
      </w:r>
      <w:r w:rsidR="008B756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the rule change </w:t>
      </w:r>
      <w:r w:rsidR="00F7435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relate </w:t>
      </w:r>
      <w:r w:rsidR="008B756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to market offer contracts. This 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may </w:t>
      </w:r>
      <w:r w:rsidR="00A57DD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be reasonable </w:t>
      </w:r>
      <w:r w:rsidR="008B756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given that under the </w:t>
      </w:r>
      <w:r w:rsidR="0085041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Rules</w:t>
      </w:r>
      <w:r w:rsidR="008B756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retailers are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ab</w:t>
      </w:r>
      <w:r w:rsidR="006E32EB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l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e </w:t>
      </w:r>
      <w:r w:rsidR="008B756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to change their tariff structures</w:t>
      </w:r>
      <w:r w:rsidR="0058637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for market 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offers in accordance with the conditions specified in </w:t>
      </w:r>
      <w:r w:rsidR="0085041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that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market contract - 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which could outline that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the retailer can change tariff prices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BD3F5D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frequently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,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without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08196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advance</w:t>
      </w:r>
      <w:r w:rsidR="00875D7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notice</w:t>
      </w:r>
      <w:r w:rsidR="003766A3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This </w:t>
      </w:r>
      <w:r w:rsidR="00B72B4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may be a problem</w:t>
      </w:r>
      <w:r w:rsidR="00AC7E0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for customers in 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other </w:t>
      </w:r>
      <w:r w:rsidR="00952E06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jurisdictions, such as in N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ew </w:t>
      </w:r>
      <w:r w:rsidR="00952E06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outh </w:t>
      </w:r>
      <w:r w:rsidR="00952E06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W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ales (NSW)</w:t>
      </w:r>
      <w:r w:rsidR="004644C4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or S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outh </w:t>
      </w:r>
      <w:r w:rsidR="004644C4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E</w:t>
      </w:r>
      <w:r w:rsidR="00EC283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ast Queensland (SE QLD)</w:t>
      </w:r>
      <w:r w:rsidR="00952E06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, </w:t>
      </w:r>
      <w:r w:rsidR="0004075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however 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this is not an issue for</w:t>
      </w:r>
      <w:r w:rsidR="000474C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the vast majority of</w:t>
      </w:r>
      <w:r w:rsidR="00420EA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Tasmanian customers.</w:t>
      </w:r>
    </w:p>
    <w:p w14:paraId="09450553" w14:textId="53913296" w:rsidR="00FA0E3D" w:rsidRPr="00612CDD" w:rsidRDefault="00FA0E3D" w:rsidP="00FA0E3D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The price of electricity for the majority of Tasmanian customers is not subject to frequent changes. Under the Rules a retailer is only able to alter its tariff structures for standing offers once in every six month period. </w:t>
      </w:r>
      <w:r w:rsidR="00D429A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In accordance with the Tasmanian legislative requirements</w:t>
      </w:r>
      <w:r w:rsidR="00D429AC" w:rsidRPr="00612CDD">
        <w:rPr>
          <w:rStyle w:val="FootnoteReference"/>
          <w:rFonts w:ascii="Gill Sans MT" w:hAnsi="Gill Sans MT" w:cs="Arial"/>
          <w:color w:val="2C2C2C"/>
          <w:sz w:val="21"/>
          <w:szCs w:val="21"/>
          <w:shd w:val="clear" w:color="auto" w:fill="FFFFFF"/>
        </w:rPr>
        <w:footnoteReference w:id="3"/>
      </w:r>
      <w:r w:rsidR="00D429A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,</w:t>
      </w:r>
      <w:r w:rsidR="00763E69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he Tasmanian Economic Regulator (the Regulator) has responsibility for determining the maximum prices that a Regulated Offer Retailer (</w:t>
      </w:r>
      <w:r w:rsidR="00D429A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Retailer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) can charge its regulated customers. </w:t>
      </w:r>
      <w:r w:rsidR="00D429A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R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etailer is required to submit annual pricing proposals</w:t>
      </w:r>
      <w:r w:rsidR="00763E69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to the Regulator</w:t>
      </w:r>
      <w:r w:rsidR="00E104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that sets </w:t>
      </w:r>
      <w:r w:rsidR="00D429AC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out the proposed fixed and usage charges for each tariff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 Due to this arrangement the Tasmanian standing offer prices generally change once per year prior to July 1</w:t>
      </w:r>
      <w:r w:rsidR="00E104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following an annual price approval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753C8A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Under the Rules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Aurora Energy is required to notify its customers of price changes via advertisements in the major local newspapers, via notifications on its website, and directly on a customers’ next electricity bill. </w:t>
      </w:r>
      <w:r w:rsidR="00763E69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For further information on Tasmania’s regulated pricing arrangements see the Tasmanian Economic Regulator’s website</w:t>
      </w:r>
      <w:r w:rsidR="00E1046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or the </w:t>
      </w:r>
      <w:r w:rsidR="00E1046F" w:rsidRPr="00612CDD">
        <w:rPr>
          <w:rFonts w:ascii="Gill Sans MT" w:hAnsi="Gill Sans MT" w:cs="Arial"/>
          <w:i/>
          <w:color w:val="2C2C2C"/>
          <w:sz w:val="21"/>
          <w:szCs w:val="21"/>
          <w:shd w:val="clear" w:color="auto" w:fill="FFFFFF"/>
        </w:rPr>
        <w:t>Electricity Supply Industry Act 1995</w:t>
      </w:r>
      <w:r w:rsidR="00763E69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</w:p>
    <w:p w14:paraId="37AB5C36" w14:textId="41231FFE" w:rsidR="00786441" w:rsidRPr="00612CDD" w:rsidRDefault="009530FE" w:rsidP="009530FE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In </w:t>
      </w:r>
      <w:r w:rsidR="0042643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summary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, the </w:t>
      </w:r>
      <w:r w:rsidR="00AC7E0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major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issues that the NSW and Australian Governments are seeking to fix</w:t>
      </w:r>
      <w:r w:rsidR="00AC7E0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with this rule change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6A6D2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are not present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in Tasmania</w:t>
      </w:r>
      <w:r w:rsidR="003E7CC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insofar as our regulated standing offer customers are concerned</w:t>
      </w:r>
      <w:r w:rsidR="00AC7E0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. 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Tasmania</w:t>
      </w:r>
      <w:r w:rsidR="004644C4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8D489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has </w:t>
      </w:r>
      <w:r w:rsidR="004644C4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a very different market structure to that of NSW or SE QLD. </w:t>
      </w:r>
      <w:r w:rsidR="00AC7E0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The proposed rule change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will result in a cost to retailers, </w:t>
      </w:r>
      <w:r w:rsidR="00AE2850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passed on to customers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, </w:t>
      </w:r>
      <w:r w:rsidR="005B258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and will</w:t>
      </w:r>
      <w:r w:rsidR="006A6D2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at this point in time</w:t>
      </w:r>
      <w:r w:rsidR="005B258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present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6A6D2F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limited</w:t>
      </w:r>
      <w:r w:rsidR="005B258E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benefit</w:t>
      </w:r>
      <w:r w:rsidR="0078644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</w:t>
      </w:r>
      <w:r w:rsidR="009C1222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for </w:t>
      </w:r>
      <w:r w:rsidR="0078644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customers</w:t>
      </w:r>
      <w:r w:rsidR="00C92DC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.</w:t>
      </w:r>
    </w:p>
    <w:p w14:paraId="0A2F2109" w14:textId="0F97FC26" w:rsidR="00786441" w:rsidRPr="00612CDD" w:rsidRDefault="008D4892" w:rsidP="009530FE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We look </w:t>
      </w:r>
      <w:r w:rsidR="003E7CC8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forward to the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AEMCs final decision on the R</w:t>
      </w:r>
      <w:r w:rsidR="00786441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ule </w:t>
      </w:r>
      <w:r w:rsidR="00ED0F8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>and hope that our feedback</w:t>
      </w:r>
      <w:r w:rsidR="00BD3F5D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regarding an exemption</w:t>
      </w:r>
      <w:r w:rsidR="00ED0F85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is taken into account.</w:t>
      </w:r>
    </w:p>
    <w:p w14:paraId="5F662AD5" w14:textId="3F3AD7A9" w:rsidR="00DE4861" w:rsidRPr="00612CDD" w:rsidRDefault="00786441">
      <w:pPr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</w:pP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For further information contact </w:t>
      </w:r>
      <w:r w:rsidR="00FA0E3D" w:rsidRPr="00612CDD">
        <w:rPr>
          <w:rFonts w:ascii="Gill Sans MT" w:hAnsi="Gill Sans MT" w:cs="Arial"/>
          <w:b/>
          <w:color w:val="2C2C2C"/>
          <w:sz w:val="21"/>
          <w:szCs w:val="21"/>
          <w:shd w:val="clear" w:color="auto" w:fill="FFFFFF"/>
        </w:rPr>
        <w:t>Sue Morrison</w:t>
      </w:r>
      <w:r w:rsidR="00FA0E3D"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on (03) 6166 3474</w:t>
      </w:r>
      <w:r w:rsidRPr="00612CDD">
        <w:rPr>
          <w:rFonts w:ascii="Gill Sans MT" w:hAnsi="Gill Sans MT" w:cs="Arial"/>
          <w:color w:val="2C2C2C"/>
          <w:sz w:val="21"/>
          <w:szCs w:val="21"/>
          <w:shd w:val="clear" w:color="auto" w:fill="FFFFFF"/>
        </w:rPr>
        <w:t xml:space="preserve"> or at </w:t>
      </w:r>
      <w:hyperlink r:id="rId9" w:history="1">
        <w:r w:rsidR="00FA0E3D" w:rsidRPr="00612CDD">
          <w:rPr>
            <w:rStyle w:val="Hyperlink"/>
            <w:rFonts w:ascii="Gill Sans MT" w:hAnsi="Gill Sans MT" w:cs="Arial"/>
            <w:sz w:val="21"/>
            <w:szCs w:val="21"/>
            <w:shd w:val="clear" w:color="auto" w:fill="FFFFFF"/>
          </w:rPr>
          <w:t>sue.morrison@stategrowth.tas.gov.au</w:t>
        </w:r>
      </w:hyperlink>
    </w:p>
    <w:sectPr w:rsidR="00DE4861" w:rsidRPr="00612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309F1" w14:textId="77777777" w:rsidR="00FF7B1C" w:rsidRDefault="00FF7B1C" w:rsidP="00D438E9">
      <w:pPr>
        <w:spacing w:after="0" w:line="240" w:lineRule="auto"/>
      </w:pPr>
      <w:r>
        <w:separator/>
      </w:r>
    </w:p>
  </w:endnote>
  <w:endnote w:type="continuationSeparator" w:id="0">
    <w:p w14:paraId="0C1539AC" w14:textId="77777777" w:rsidR="00FF7B1C" w:rsidRDefault="00FF7B1C" w:rsidP="00D4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6C659" w14:textId="77777777" w:rsidR="00FF7B1C" w:rsidRDefault="00FF7B1C" w:rsidP="00D438E9">
      <w:pPr>
        <w:spacing w:after="0" w:line="240" w:lineRule="auto"/>
      </w:pPr>
      <w:r>
        <w:separator/>
      </w:r>
    </w:p>
  </w:footnote>
  <w:footnote w:type="continuationSeparator" w:id="0">
    <w:p w14:paraId="1E2D9517" w14:textId="77777777" w:rsidR="00FF7B1C" w:rsidRDefault="00FF7B1C" w:rsidP="00D438E9">
      <w:pPr>
        <w:spacing w:after="0" w:line="240" w:lineRule="auto"/>
      </w:pPr>
      <w:r>
        <w:continuationSeparator/>
      </w:r>
    </w:p>
  </w:footnote>
  <w:footnote w:id="1">
    <w:p w14:paraId="439A6FF9" w14:textId="46A8B1D3" w:rsidR="00786441" w:rsidRDefault="00786441">
      <w:pPr>
        <w:pStyle w:val="FootnoteText"/>
      </w:pPr>
      <w:r>
        <w:rPr>
          <w:rStyle w:val="FootnoteReference"/>
        </w:rPr>
        <w:footnoteRef/>
      </w:r>
      <w:r>
        <w:t xml:space="preserve"> Note that Tasmania does not apply the NERR in relation to the gas industry. </w:t>
      </w:r>
      <w:r w:rsidR="0022387C">
        <w:t>Tasmanian gas retailers provide notice to customers on this area that is, on the whole, consistent with the current Rules.</w:t>
      </w:r>
    </w:p>
  </w:footnote>
  <w:footnote w:id="2">
    <w:p w14:paraId="5E1EB677" w14:textId="5E702344" w:rsidR="00D438E9" w:rsidRDefault="00D438E9">
      <w:pPr>
        <w:pStyle w:val="FootnoteText"/>
      </w:pPr>
      <w:r>
        <w:rPr>
          <w:rStyle w:val="FootnoteReference"/>
        </w:rPr>
        <w:footnoteRef/>
      </w:r>
      <w:r>
        <w:t xml:space="preserve"> The Tasmanian Economic Regulator would be required to approve any such recovery</w:t>
      </w:r>
      <w:r w:rsidR="00AE2A04">
        <w:t xml:space="preserve"> as part of a price determination</w:t>
      </w:r>
      <w:r w:rsidR="00B72B40">
        <w:t xml:space="preserve"> for a financial year</w:t>
      </w:r>
      <w:r>
        <w:t xml:space="preserve">. </w:t>
      </w:r>
    </w:p>
  </w:footnote>
  <w:footnote w:id="3">
    <w:p w14:paraId="15B44701" w14:textId="257FAA45" w:rsidR="00D429AC" w:rsidRPr="00D429AC" w:rsidRDefault="00D429AC">
      <w:pPr>
        <w:pStyle w:val="FootnoteText"/>
      </w:pPr>
      <w:r>
        <w:rPr>
          <w:rStyle w:val="FootnoteReference"/>
        </w:rPr>
        <w:footnoteRef/>
      </w:r>
      <w:r>
        <w:t xml:space="preserve"> See the </w:t>
      </w:r>
      <w:r w:rsidRPr="00D429AC">
        <w:rPr>
          <w:i/>
        </w:rPr>
        <w:t>Electricity Supply Industry Act 1995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08E8"/>
    <w:multiLevelType w:val="hybridMultilevel"/>
    <w:tmpl w:val="1C86BCB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39A0"/>
    <w:multiLevelType w:val="hybridMultilevel"/>
    <w:tmpl w:val="1C86BCB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C5B67"/>
    <w:multiLevelType w:val="hybridMultilevel"/>
    <w:tmpl w:val="BD0C1A8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61"/>
    <w:rsid w:val="0004075F"/>
    <w:rsid w:val="000474C8"/>
    <w:rsid w:val="0007298B"/>
    <w:rsid w:val="00081963"/>
    <w:rsid w:val="0008648E"/>
    <w:rsid w:val="00094C55"/>
    <w:rsid w:val="000B2978"/>
    <w:rsid w:val="000E7272"/>
    <w:rsid w:val="001C7453"/>
    <w:rsid w:val="001F2F1B"/>
    <w:rsid w:val="0022387C"/>
    <w:rsid w:val="002C6155"/>
    <w:rsid w:val="002D74B8"/>
    <w:rsid w:val="00341A4D"/>
    <w:rsid w:val="003766A3"/>
    <w:rsid w:val="00387E82"/>
    <w:rsid w:val="003B2152"/>
    <w:rsid w:val="003D3C73"/>
    <w:rsid w:val="003D53A7"/>
    <w:rsid w:val="003D5855"/>
    <w:rsid w:val="003E7CC8"/>
    <w:rsid w:val="003F75C6"/>
    <w:rsid w:val="00410A01"/>
    <w:rsid w:val="00420EA2"/>
    <w:rsid w:val="00426431"/>
    <w:rsid w:val="004342B1"/>
    <w:rsid w:val="004644C4"/>
    <w:rsid w:val="0048699A"/>
    <w:rsid w:val="004F66BD"/>
    <w:rsid w:val="00523A46"/>
    <w:rsid w:val="0058637A"/>
    <w:rsid w:val="005B258E"/>
    <w:rsid w:val="005D14B8"/>
    <w:rsid w:val="0060583E"/>
    <w:rsid w:val="00612CDD"/>
    <w:rsid w:val="00631698"/>
    <w:rsid w:val="006830EE"/>
    <w:rsid w:val="006A6D2F"/>
    <w:rsid w:val="006E32EB"/>
    <w:rsid w:val="00753C8A"/>
    <w:rsid w:val="00763E69"/>
    <w:rsid w:val="00776617"/>
    <w:rsid w:val="00786441"/>
    <w:rsid w:val="007B0086"/>
    <w:rsid w:val="007C5FA4"/>
    <w:rsid w:val="007D4021"/>
    <w:rsid w:val="007F6529"/>
    <w:rsid w:val="00827346"/>
    <w:rsid w:val="00850411"/>
    <w:rsid w:val="00872B89"/>
    <w:rsid w:val="00875D73"/>
    <w:rsid w:val="008B7568"/>
    <w:rsid w:val="008D4892"/>
    <w:rsid w:val="008E0218"/>
    <w:rsid w:val="00937D5F"/>
    <w:rsid w:val="009528B5"/>
    <w:rsid w:val="00952E06"/>
    <w:rsid w:val="009530FE"/>
    <w:rsid w:val="0099476F"/>
    <w:rsid w:val="009B59ED"/>
    <w:rsid w:val="009C1222"/>
    <w:rsid w:val="00A10A66"/>
    <w:rsid w:val="00A57DD5"/>
    <w:rsid w:val="00AC7E0E"/>
    <w:rsid w:val="00AE2850"/>
    <w:rsid w:val="00AE2A04"/>
    <w:rsid w:val="00B6066B"/>
    <w:rsid w:val="00B6175C"/>
    <w:rsid w:val="00B72B40"/>
    <w:rsid w:val="00B91361"/>
    <w:rsid w:val="00BC6B1F"/>
    <w:rsid w:val="00BD3F5D"/>
    <w:rsid w:val="00BE4E4D"/>
    <w:rsid w:val="00C16EE0"/>
    <w:rsid w:val="00C566AA"/>
    <w:rsid w:val="00C566CB"/>
    <w:rsid w:val="00C92DC1"/>
    <w:rsid w:val="00CE09A0"/>
    <w:rsid w:val="00CE65FC"/>
    <w:rsid w:val="00D10871"/>
    <w:rsid w:val="00D22B3B"/>
    <w:rsid w:val="00D429AC"/>
    <w:rsid w:val="00D438E9"/>
    <w:rsid w:val="00D477CA"/>
    <w:rsid w:val="00D54CE5"/>
    <w:rsid w:val="00DA0256"/>
    <w:rsid w:val="00DA3538"/>
    <w:rsid w:val="00DA7187"/>
    <w:rsid w:val="00DE0337"/>
    <w:rsid w:val="00DE4861"/>
    <w:rsid w:val="00E1046F"/>
    <w:rsid w:val="00E33EDA"/>
    <w:rsid w:val="00E6203F"/>
    <w:rsid w:val="00E8093C"/>
    <w:rsid w:val="00E84FAA"/>
    <w:rsid w:val="00E8719A"/>
    <w:rsid w:val="00EC2838"/>
    <w:rsid w:val="00ED0F85"/>
    <w:rsid w:val="00F115B8"/>
    <w:rsid w:val="00F14F60"/>
    <w:rsid w:val="00F23657"/>
    <w:rsid w:val="00F332D4"/>
    <w:rsid w:val="00F345DC"/>
    <w:rsid w:val="00F73F96"/>
    <w:rsid w:val="00F7435C"/>
    <w:rsid w:val="00F94462"/>
    <w:rsid w:val="00FA0E3D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4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E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8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64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E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8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64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e.morrison@stategrowth.ta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A7F05-54A1-439A-9A91-BDB9C229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E8492458</Template>
  <TotalTime>2</TotalTime>
  <Pages>2</Pages>
  <Words>977</Words>
  <Characters>5569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 Growth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Daniel</dc:creator>
  <cp:lastModifiedBy>Russell Pendlebury</cp:lastModifiedBy>
  <cp:revision>2</cp:revision>
  <cp:lastPrinted>2018-05-23T05:47:00Z</cp:lastPrinted>
  <dcterms:created xsi:type="dcterms:W3CDTF">2018-05-30T05:02:00Z</dcterms:created>
  <dcterms:modified xsi:type="dcterms:W3CDTF">2018-05-30T05:02:00Z</dcterms:modified>
</cp:coreProperties>
</file>