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D3" w:rsidRPr="001E31EE" w:rsidRDefault="00C86DD3" w:rsidP="00C86DD3">
      <w:pPr>
        <w:pStyle w:val="Heading9"/>
        <w:keepNext w:val="0"/>
        <w:keepLines w:val="0"/>
        <w:pageBreakBefore w:val="0"/>
        <w:numPr>
          <w:ilvl w:val="0"/>
          <w:numId w:val="0"/>
        </w:numPr>
        <w:tabs>
          <w:tab w:val="left" w:pos="1395"/>
        </w:tabs>
        <w:spacing w:before="0" w:after="120" w:line="240" w:lineRule="auto"/>
        <w:rPr>
          <w:color w:val="00A4E4"/>
        </w:rPr>
      </w:pPr>
      <w:r>
        <w:rPr>
          <w:color w:val="00A4E4"/>
        </w:rPr>
        <w:t>Coordination of generation and transmission investment – options paper: s</w:t>
      </w:r>
      <w:r w:rsidRPr="001E31EE">
        <w:rPr>
          <w:color w:val="00A4E4"/>
        </w:rPr>
        <w:t>takeholder feedback template</w:t>
      </w:r>
    </w:p>
    <w:p w:rsidR="00C86DD3" w:rsidRDefault="00C86DD3" w:rsidP="00C86DD3">
      <w:pPr>
        <w:pStyle w:val="BodyText"/>
        <w:spacing w:after="240" w:line="276" w:lineRule="auto"/>
        <w:rPr>
          <w:rFonts w:ascii="Book Antiqua" w:hAnsi="Book Antiqua" w:cs="Arial"/>
        </w:rPr>
      </w:pPr>
      <w:r w:rsidRPr="001E31EE">
        <w:rPr>
          <w:rFonts w:ascii="Book Antiqua" w:hAnsi="Book Antiqua"/>
        </w:rPr>
        <w:t xml:space="preserve">The template below has been developed to </w:t>
      </w:r>
      <w:r>
        <w:rPr>
          <w:rFonts w:ascii="Book Antiqua" w:hAnsi="Book Antiqua"/>
        </w:rPr>
        <w:t>assist stakeholders in providing</w:t>
      </w:r>
      <w:r w:rsidRPr="001E31EE">
        <w:rPr>
          <w:rFonts w:ascii="Book Antiqua" w:hAnsi="Book Antiqua"/>
        </w:rPr>
        <w:t xml:space="preserve"> their feedback on the questions posed in this paper and any other issues that they would like to provide feedback on. The </w:t>
      </w:r>
      <w:proofErr w:type="spellStart"/>
      <w:r w:rsidRPr="001E31EE">
        <w:rPr>
          <w:rFonts w:ascii="Book Antiqua" w:hAnsi="Book Antiqua"/>
        </w:rPr>
        <w:t>AEMC</w:t>
      </w:r>
      <w:proofErr w:type="spellEnd"/>
      <w:r w:rsidRPr="001E31EE">
        <w:rPr>
          <w:rFonts w:ascii="Book Antiqua" w:hAnsi="Book Antiqua"/>
        </w:rPr>
        <w:t xml:space="preserve"> encourages stakeholders to use this template</w:t>
      </w:r>
      <w:r>
        <w:rPr>
          <w:rFonts w:ascii="Book Antiqua" w:hAnsi="Book Antiqua"/>
        </w:rPr>
        <w:t xml:space="preserve"> to assist it to consider</w:t>
      </w:r>
      <w:r w:rsidRPr="001E31EE">
        <w:rPr>
          <w:rFonts w:ascii="Book Antiqua" w:hAnsi="Book Antiqua"/>
        </w:rPr>
        <w:t xml:space="preserve"> the views expressed by stakeholders on each issue. </w:t>
      </w:r>
      <w:r w:rsidRPr="001E31EE">
        <w:rPr>
          <w:rFonts w:ascii="Book Antiqua" w:hAnsi="Book Antiqua" w:cs="Arial"/>
        </w:rPr>
        <w:t>Stakeholders should not feel obliged to answer each question, but rather address those issues of particular interest or concern. Further context for the</w:t>
      </w:r>
      <w:r>
        <w:rPr>
          <w:rFonts w:ascii="Book Antiqua" w:hAnsi="Book Antiqua" w:cs="Arial"/>
        </w:rPr>
        <w:t xml:space="preserve"> questions can be found in the options</w:t>
      </w:r>
      <w:r w:rsidRPr="001E31EE">
        <w:rPr>
          <w:rFonts w:ascii="Book Antiqua" w:hAnsi="Book Antiqua" w:cs="Arial"/>
        </w:rPr>
        <w:t xml:space="preserve"> paper.</w:t>
      </w:r>
    </w:p>
    <w:p w:rsidR="00A93F9D" w:rsidRDefault="00A93F9D" w:rsidP="00A93F9D">
      <w:pPr>
        <w:pStyle w:val="BodyText"/>
        <w:spacing w:before="0" w:after="0" w:line="276" w:lineRule="auto"/>
        <w:rPr>
          <w:rFonts w:ascii="Book Antiqua" w:hAnsi="Book Antiqua" w:cs="Arial"/>
        </w:rPr>
      </w:pPr>
      <w:r>
        <w:rPr>
          <w:rFonts w:ascii="Book Antiqua" w:hAnsi="Book Antiqua" w:cs="Arial"/>
        </w:rPr>
        <w:t xml:space="preserve">Organisation: </w:t>
      </w:r>
    </w:p>
    <w:p w:rsidR="00A93F9D" w:rsidRDefault="00A93F9D" w:rsidP="00A93F9D">
      <w:pPr>
        <w:pStyle w:val="BodyText"/>
        <w:spacing w:before="0" w:after="0" w:line="276" w:lineRule="auto"/>
        <w:rPr>
          <w:rFonts w:ascii="Book Antiqua" w:hAnsi="Book Antiqua" w:cs="Arial"/>
        </w:rPr>
      </w:pPr>
      <w:r>
        <w:rPr>
          <w:rFonts w:ascii="Book Antiqua" w:hAnsi="Book Antiqua" w:cs="Arial"/>
        </w:rPr>
        <w:t>Contact name:</w:t>
      </w:r>
    </w:p>
    <w:p w:rsidR="00C86DD3" w:rsidRDefault="00A93F9D" w:rsidP="00A93F9D">
      <w:pPr>
        <w:pStyle w:val="BodyText"/>
        <w:spacing w:before="0" w:after="0" w:line="276" w:lineRule="auto"/>
        <w:rPr>
          <w:rFonts w:ascii="Book Antiqua" w:hAnsi="Book Antiqua" w:cs="Arial"/>
        </w:rPr>
      </w:pPr>
      <w:r>
        <w:rPr>
          <w:rFonts w:ascii="Book Antiqua" w:hAnsi="Book Antiqua" w:cs="Arial"/>
        </w:rPr>
        <w:t>Contact details (email / phone):</w:t>
      </w:r>
    </w:p>
    <w:p w:rsidR="00C86DD3" w:rsidRDefault="00C86DD3" w:rsidP="00A93F9D">
      <w:pPr>
        <w:pStyle w:val="BodyText"/>
        <w:spacing w:before="0" w:after="0" w:line="276" w:lineRule="auto"/>
        <w:rPr>
          <w:rFonts w:ascii="Book Antiqua" w:hAnsi="Book Antiqua" w:cs="Arial"/>
        </w:rPr>
      </w:pPr>
    </w:p>
    <w:p w:rsidR="00A93F9D" w:rsidRDefault="00A93F9D" w:rsidP="00A93F9D">
      <w:pPr>
        <w:pStyle w:val="BodyText"/>
        <w:spacing w:before="0" w:after="0" w:line="276" w:lineRule="auto"/>
        <w:rPr>
          <w:rFonts w:ascii="Book Antiqua" w:hAnsi="Book Antiqua" w:cs="Arial"/>
        </w:rPr>
      </w:pPr>
    </w:p>
    <w:tbl>
      <w:tblPr>
        <w:tblStyle w:val="TableGrid"/>
        <w:tblW w:w="4976" w:type="pct"/>
        <w:tblInd w:w="-5" w:type="dxa"/>
        <w:tblBorders>
          <w:left w:val="single" w:sz="4" w:space="0" w:color="auto"/>
          <w:right w:val="single" w:sz="4" w:space="0" w:color="auto"/>
        </w:tblBorders>
        <w:tblLook w:val="0420" w:firstRow="1" w:lastRow="0" w:firstColumn="0" w:lastColumn="0" w:noHBand="0" w:noVBand="1"/>
        <w:tblCaption w:val="Part A - Standardiation reforms"/>
        <w:tblDescription w:val="Part A - Standardiation reforms questions"/>
      </w:tblPr>
      <w:tblGrid>
        <w:gridCol w:w="657"/>
        <w:gridCol w:w="7748"/>
        <w:gridCol w:w="5496"/>
      </w:tblGrid>
      <w:tr w:rsidR="00A93F9D" w:rsidRPr="00655BAA" w:rsidTr="00F572FE">
        <w:trPr>
          <w:cnfStyle w:val="100000000000" w:firstRow="1" w:lastRow="0" w:firstColumn="0" w:lastColumn="0" w:oddVBand="0" w:evenVBand="0" w:oddHBand="0" w:evenHBand="0" w:firstRowFirstColumn="0" w:firstRowLastColumn="0" w:lastRowFirstColumn="0" w:lastRowLastColumn="0"/>
          <w:trHeight w:val="454"/>
          <w:tblHeader/>
        </w:trPr>
        <w:tc>
          <w:tcPr>
            <w:tcW w:w="3023" w:type="pct"/>
            <w:gridSpan w:val="2"/>
            <w:shd w:val="clear" w:color="auto" w:fill="00A4E4"/>
            <w:vAlign w:val="center"/>
          </w:tcPr>
          <w:p w:rsidR="00A93F9D" w:rsidRPr="00F572FE" w:rsidRDefault="00A93F9D" w:rsidP="00F572FE">
            <w:pPr>
              <w:pStyle w:val="TableHeading"/>
              <w:keepNext/>
              <w:spacing w:before="20" w:after="20"/>
              <w:ind w:left="75" w:right="75"/>
              <w:rPr>
                <w:sz w:val="24"/>
                <w:szCs w:val="24"/>
                <w:lang w:eastAsia="fr-CA"/>
              </w:rPr>
            </w:pPr>
            <w:r w:rsidRPr="00F572FE">
              <w:rPr>
                <w:sz w:val="24"/>
                <w:szCs w:val="24"/>
                <w:lang w:eastAsia="fr-CA"/>
              </w:rPr>
              <w:t>Questions</w:t>
            </w:r>
          </w:p>
        </w:tc>
        <w:tc>
          <w:tcPr>
            <w:tcW w:w="1977" w:type="pct"/>
            <w:shd w:val="clear" w:color="auto" w:fill="00A4E4"/>
            <w:vAlign w:val="center"/>
            <w:hideMark/>
          </w:tcPr>
          <w:p w:rsidR="00A93F9D" w:rsidRPr="00F572FE" w:rsidRDefault="00A93F9D" w:rsidP="00F572FE">
            <w:pPr>
              <w:pStyle w:val="TableHeading"/>
              <w:keepNext/>
              <w:spacing w:before="20" w:after="20"/>
              <w:ind w:left="75" w:right="75"/>
              <w:rPr>
                <w:sz w:val="24"/>
                <w:szCs w:val="24"/>
                <w:lang w:eastAsia="fr-CA"/>
              </w:rPr>
            </w:pPr>
            <w:r w:rsidRPr="00F572FE">
              <w:rPr>
                <w:sz w:val="24"/>
                <w:szCs w:val="24"/>
                <w:lang w:eastAsia="fr-CA"/>
              </w:rPr>
              <w:t>Feedback</w:t>
            </w:r>
          </w:p>
        </w:tc>
      </w:tr>
      <w:tr w:rsidR="00A93F9D" w:rsidRPr="008E3B3E" w:rsidTr="00F572FE">
        <w:trPr>
          <w:trHeight w:val="454"/>
        </w:trPr>
        <w:tc>
          <w:tcPr>
            <w:tcW w:w="5000" w:type="pct"/>
            <w:gridSpan w:val="3"/>
            <w:shd w:val="clear" w:color="auto" w:fill="404040"/>
            <w:vAlign w:val="center"/>
          </w:tcPr>
          <w:p w:rsidR="00A93F9D" w:rsidRPr="00655BAA" w:rsidRDefault="00A93F9D" w:rsidP="00F572FE">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sidRPr="00655BAA">
              <w:rPr>
                <w:rFonts w:eastAsiaTheme="majorEastAsia"/>
                <w:b/>
                <w:color w:val="FFFFFF" w:themeColor="background1"/>
                <w:sz w:val="20"/>
                <w:szCs w:val="20"/>
              </w:rPr>
              <w:t xml:space="preserve">Chapter 4 – </w:t>
            </w:r>
            <w:r>
              <w:rPr>
                <w:rFonts w:eastAsiaTheme="majorEastAsia"/>
                <w:b/>
                <w:color w:val="FFFFFF" w:themeColor="background1"/>
                <w:sz w:val="20"/>
                <w:szCs w:val="20"/>
              </w:rPr>
              <w:t>Making the ISP</w:t>
            </w:r>
            <w:r w:rsidRPr="00C61C3E">
              <w:rPr>
                <w:rFonts w:eastAsiaTheme="majorEastAsia"/>
                <w:b/>
                <w:color w:val="FFFFFF" w:themeColor="background1"/>
                <w:sz w:val="20"/>
                <w:szCs w:val="20"/>
              </w:rPr>
              <w:t xml:space="preserve"> an actionable strategic plan</w:t>
            </w:r>
          </w:p>
        </w:tc>
      </w:tr>
      <w:tr w:rsidR="00A93F9D" w:rsidRPr="008E3B3E" w:rsidTr="00F572F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A93F9D" w:rsidRPr="007C1F9A"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7C1F9A">
              <w:rPr>
                <w:rFonts w:eastAsiaTheme="majorEastAsia"/>
                <w:b/>
                <w:color w:val="000000" w:themeColor="text1"/>
                <w:sz w:val="20"/>
                <w:szCs w:val="20"/>
              </w:rPr>
              <w:t>Question 1: Questions arising from the ISP</w:t>
            </w:r>
            <w:r>
              <w:rPr>
                <w:rFonts w:eastAsiaTheme="majorEastAsia"/>
                <w:b/>
                <w:color w:val="000000" w:themeColor="text1"/>
                <w:sz w:val="20"/>
                <w:szCs w:val="20"/>
              </w:rPr>
              <w:t xml:space="preserve"> - </w:t>
            </w:r>
            <w:r w:rsidRPr="007C1F9A">
              <w:rPr>
                <w:rFonts w:eastAsiaTheme="majorEastAsia"/>
                <w:color w:val="000000" w:themeColor="text1"/>
                <w:sz w:val="20"/>
                <w:szCs w:val="20"/>
              </w:rPr>
              <w:t>The paper considers a number of questions about the role and</w:t>
            </w:r>
            <w:r>
              <w:rPr>
                <w:rFonts w:eastAsiaTheme="majorEastAsia"/>
                <w:color w:val="000000" w:themeColor="text1"/>
                <w:sz w:val="20"/>
                <w:szCs w:val="20"/>
              </w:rPr>
              <w:t xml:space="preserve"> regulatory implications of the </w:t>
            </w:r>
            <w:r w:rsidRPr="007C1F9A">
              <w:rPr>
                <w:rFonts w:eastAsiaTheme="majorEastAsia"/>
                <w:color w:val="000000" w:themeColor="text1"/>
                <w:sz w:val="20"/>
                <w:szCs w:val="20"/>
              </w:rPr>
              <w:t>ISP, including the links between the ISP and transmission investment decisions.</w:t>
            </w:r>
          </w:p>
        </w:tc>
      </w:tr>
      <w:tr w:rsidR="00A93F9D" w:rsidRPr="00327EA7" w:rsidTr="00F572FE">
        <w:trPr>
          <w:trHeight w:val="454"/>
        </w:trPr>
        <w:tc>
          <w:tcPr>
            <w:tcW w:w="236" w:type="pct"/>
            <w:shd w:val="clear" w:color="auto" w:fill="auto"/>
            <w:vAlign w:val="center"/>
          </w:tcPr>
          <w:p w:rsidR="00A93F9D" w:rsidRPr="00F572FE" w:rsidRDefault="00A93F9D" w:rsidP="00F572FE">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A)</w:t>
            </w:r>
          </w:p>
        </w:tc>
        <w:tc>
          <w:tcPr>
            <w:tcW w:w="2787" w:type="pct"/>
            <w:shd w:val="clear" w:color="auto" w:fill="auto"/>
            <w:vAlign w:val="center"/>
          </w:tcPr>
          <w:p w:rsidR="00A93F9D" w:rsidRPr="007C1F9A" w:rsidRDefault="00A93F9D" w:rsidP="00F572FE">
            <w:pPr>
              <w:pStyle w:val="ListNumber"/>
              <w:rPr>
                <w:rFonts w:asciiTheme="majorHAnsi" w:hAnsiTheme="majorHAnsi" w:cstheme="majorHAnsi"/>
                <w:sz w:val="20"/>
                <w:szCs w:val="20"/>
                <w:lang w:eastAsia="fr-CA"/>
              </w:rPr>
            </w:pPr>
            <w:r w:rsidRPr="007C1F9A">
              <w:rPr>
                <w:sz w:val="20"/>
                <w:szCs w:val="20"/>
              </w:rPr>
              <w:t>Are there any questions about the role and regulatory implications of the ISP that are not set out in the options paper?</w:t>
            </w:r>
          </w:p>
        </w:tc>
        <w:tc>
          <w:tcPr>
            <w:tcW w:w="1977" w:type="pct"/>
            <w:shd w:val="clear" w:color="auto" w:fill="auto"/>
            <w:vAlign w:val="center"/>
          </w:tcPr>
          <w:p w:rsidR="00A93F9D" w:rsidRPr="00327EA7" w:rsidRDefault="00A93F9D" w:rsidP="00F572F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F572FE" w:rsidRDefault="00A93F9D" w:rsidP="00F572FE">
            <w:pPr>
              <w:pStyle w:val="ListParagraph"/>
              <w:spacing w:before="120" w:after="120"/>
              <w:ind w:left="360" w:hanging="208"/>
              <w:rPr>
                <w:rFonts w:ascii="Arial" w:eastAsiaTheme="majorEastAsia" w:hAnsi="Arial" w:cs="Arial"/>
                <w:sz w:val="20"/>
                <w:szCs w:val="20"/>
              </w:rPr>
            </w:pPr>
            <w:r w:rsidRPr="00F572FE">
              <w:rPr>
                <w:rFonts w:ascii="Arial" w:eastAsiaTheme="majorEastAsia" w:hAnsi="Arial" w:cs="Arial"/>
                <w:sz w:val="20"/>
                <w:szCs w:val="20"/>
              </w:rPr>
              <w:t xml:space="preserve">B) </w:t>
            </w:r>
          </w:p>
        </w:tc>
        <w:tc>
          <w:tcPr>
            <w:tcW w:w="2787" w:type="pct"/>
            <w:shd w:val="clear" w:color="auto" w:fill="auto"/>
            <w:vAlign w:val="center"/>
          </w:tcPr>
          <w:p w:rsidR="00A93F9D" w:rsidRPr="00F66953" w:rsidRDefault="00A93F9D" w:rsidP="00F572FE">
            <w:pPr>
              <w:pStyle w:val="ListNumber"/>
              <w:ind w:left="124"/>
              <w:rPr>
                <w:rFonts w:asciiTheme="majorHAnsi" w:hAnsiTheme="majorHAnsi" w:cstheme="majorHAnsi"/>
                <w:sz w:val="20"/>
                <w:szCs w:val="20"/>
                <w:lang w:eastAsia="fr-CA"/>
              </w:rPr>
            </w:pPr>
            <w:r w:rsidRPr="00F66953">
              <w:rPr>
                <w:sz w:val="20"/>
                <w:szCs w:val="20"/>
              </w:rPr>
              <w:t xml:space="preserve">Is our approach to making the ISP actionable (i.e. strengthening the link between the ISP </w:t>
            </w:r>
            <w:r>
              <w:rPr>
                <w:sz w:val="20"/>
                <w:szCs w:val="20"/>
              </w:rPr>
              <w:t>and investment decisions) approp</w:t>
            </w:r>
            <w:r w:rsidRPr="00F66953">
              <w:rPr>
                <w:sz w:val="20"/>
                <w:szCs w:val="20"/>
              </w:rPr>
              <w:t>riate?</w:t>
            </w:r>
          </w:p>
        </w:tc>
        <w:tc>
          <w:tcPr>
            <w:tcW w:w="1977" w:type="pct"/>
            <w:shd w:val="clear" w:color="auto" w:fill="auto"/>
            <w:vAlign w:val="center"/>
          </w:tcPr>
          <w:p w:rsidR="00A93F9D" w:rsidRPr="00327EA7" w:rsidRDefault="00A93F9D" w:rsidP="00F572F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93F9D" w:rsidRPr="00327EA7" w:rsidTr="00F572FE">
        <w:trPr>
          <w:trHeight w:val="454"/>
        </w:trPr>
        <w:tc>
          <w:tcPr>
            <w:tcW w:w="5000" w:type="pct"/>
            <w:gridSpan w:val="3"/>
            <w:shd w:val="clear" w:color="auto" w:fill="EEECE1" w:themeFill="background2"/>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2: Interaction between the ISP and government policies</w:t>
            </w: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color w:val="000000" w:themeColor="text1"/>
                <w:sz w:val="20"/>
                <w:szCs w:val="20"/>
              </w:rPr>
            </w:pPr>
            <w:r w:rsidRPr="00F66953">
              <w:rPr>
                <w:rFonts w:eastAsiaTheme="majorEastAsia"/>
                <w:color w:val="000000" w:themeColor="text1"/>
                <w:sz w:val="20"/>
                <w:szCs w:val="20"/>
              </w:rPr>
              <w:t>A)</w:t>
            </w:r>
          </w:p>
        </w:tc>
        <w:tc>
          <w:tcPr>
            <w:tcW w:w="278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F66953">
              <w:rPr>
                <w:sz w:val="20"/>
                <w:szCs w:val="20"/>
              </w:rPr>
              <w:t>The ISP will necessarily have to take into account government environmental and industry policies in modelling ISP scenarios. Do stakeholders consider it would be helpful for the COAG Energy Council to provide formal advice to AEMO as to what government policies or scenarios should be modelled in the ISP?</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color w:val="000000" w:themeColor="text1"/>
                <w:sz w:val="20"/>
                <w:szCs w:val="20"/>
              </w:rPr>
            </w:pPr>
            <w:r w:rsidRPr="00F66953">
              <w:rPr>
                <w:rFonts w:eastAsiaTheme="majorEastAsia"/>
                <w:color w:val="000000" w:themeColor="text1"/>
                <w:sz w:val="20"/>
                <w:szCs w:val="20"/>
              </w:rPr>
              <w:t>B)</w:t>
            </w:r>
          </w:p>
        </w:tc>
        <w:tc>
          <w:tcPr>
            <w:tcW w:w="278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color w:val="000000" w:themeColor="text1"/>
                <w:sz w:val="20"/>
                <w:szCs w:val="20"/>
              </w:rPr>
            </w:pPr>
            <w:r w:rsidRPr="00F66953">
              <w:rPr>
                <w:rFonts w:eastAsiaTheme="majorEastAsia"/>
                <w:color w:val="000000" w:themeColor="text1"/>
                <w:sz w:val="20"/>
                <w:szCs w:val="20"/>
              </w:rPr>
              <w:t>Are there other ways in which government policies that impact on the NEM could be incorporated as modelled scenarios in the ISP?</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94222A">
              <w:rPr>
                <w:rFonts w:eastAsiaTheme="majorEastAsia"/>
                <w:b/>
                <w:color w:val="000000" w:themeColor="text1"/>
                <w:sz w:val="20"/>
                <w:szCs w:val="20"/>
              </w:rPr>
              <w:t>Question 3: “Strategic, national” investments and regional investments</w:t>
            </w:r>
          </w:p>
        </w:tc>
      </w:tr>
      <w:tr w:rsidR="00A93F9D" w:rsidRPr="00327EA7" w:rsidTr="00F572FE">
        <w:trPr>
          <w:trHeight w:val="454"/>
        </w:trPr>
        <w:tc>
          <w:tcPr>
            <w:tcW w:w="236" w:type="pct"/>
            <w:shd w:val="clear" w:color="auto" w:fill="auto"/>
            <w:vAlign w:val="center"/>
          </w:tcPr>
          <w:p w:rsidR="00A93F9D" w:rsidRPr="0094222A" w:rsidRDefault="00A93F9D" w:rsidP="00F572FE">
            <w:pPr>
              <w:pStyle w:val="TableBullet1"/>
              <w:keepNext/>
              <w:tabs>
                <w:tab w:val="left" w:pos="720"/>
              </w:tabs>
              <w:spacing w:before="20" w:after="20"/>
              <w:ind w:left="129"/>
              <w:rPr>
                <w:rFonts w:eastAsiaTheme="majorEastAsia"/>
                <w:color w:val="000000" w:themeColor="text1"/>
                <w:sz w:val="20"/>
                <w:szCs w:val="20"/>
              </w:rPr>
            </w:pPr>
            <w:r w:rsidRPr="0094222A">
              <w:rPr>
                <w:rFonts w:eastAsiaTheme="majorEastAsia"/>
                <w:color w:val="000000" w:themeColor="text1"/>
                <w:sz w:val="20"/>
                <w:szCs w:val="20"/>
              </w:rPr>
              <w:t>A)</w:t>
            </w:r>
          </w:p>
        </w:tc>
        <w:tc>
          <w:tcPr>
            <w:tcW w:w="2787" w:type="pct"/>
            <w:shd w:val="clear" w:color="auto" w:fill="auto"/>
            <w:vAlign w:val="center"/>
          </w:tcPr>
          <w:p w:rsidR="00A93F9D" w:rsidRPr="0094222A"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94222A">
              <w:rPr>
                <w:sz w:val="20"/>
                <w:szCs w:val="20"/>
              </w:rPr>
              <w:t>It is proposed that the ISP only focusses on “strategic, national” investments. Do stakeholders consider this is appropriate?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94222A" w:rsidRDefault="00A93F9D" w:rsidP="00F572FE">
            <w:pPr>
              <w:pStyle w:val="TableBullet1"/>
              <w:keepNext/>
              <w:tabs>
                <w:tab w:val="left" w:pos="720"/>
              </w:tabs>
              <w:spacing w:before="20" w:after="20"/>
              <w:ind w:left="129"/>
              <w:rPr>
                <w:rFonts w:eastAsiaTheme="majorEastAsia"/>
                <w:color w:val="000000" w:themeColor="text1"/>
                <w:sz w:val="20"/>
                <w:szCs w:val="20"/>
              </w:rPr>
            </w:pPr>
            <w:r w:rsidRPr="0094222A">
              <w:rPr>
                <w:rFonts w:eastAsiaTheme="majorEastAsia"/>
                <w:color w:val="000000" w:themeColor="text1"/>
                <w:sz w:val="20"/>
                <w:szCs w:val="20"/>
              </w:rPr>
              <w:t>B)</w:t>
            </w:r>
          </w:p>
        </w:tc>
        <w:tc>
          <w:tcPr>
            <w:tcW w:w="2787" w:type="pct"/>
            <w:shd w:val="clear" w:color="auto" w:fill="auto"/>
            <w:vAlign w:val="center"/>
          </w:tcPr>
          <w:p w:rsidR="00A93F9D" w:rsidRPr="0094222A"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94222A">
              <w:rPr>
                <w:sz w:val="20"/>
                <w:szCs w:val="20"/>
              </w:rPr>
              <w:t>If so, how could this threshold be defined, or what criteria could be used to define it?</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C86DD3" w:rsidRPr="00327EA7" w:rsidTr="00C86DD3">
        <w:trPr>
          <w:trHeight w:val="454"/>
        </w:trPr>
        <w:tc>
          <w:tcPr>
            <w:tcW w:w="5000" w:type="pct"/>
            <w:gridSpan w:val="3"/>
            <w:shd w:val="clear" w:color="auto" w:fill="EEECE1" w:themeFill="background2"/>
            <w:vAlign w:val="center"/>
          </w:tcPr>
          <w:p w:rsidR="00C86DD3" w:rsidRPr="00F66953" w:rsidRDefault="00C86DD3"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4: Risk allocation</w:t>
            </w: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0C52CD" w:rsidRDefault="00A93F9D" w:rsidP="00F572FE">
            <w:pPr>
              <w:pStyle w:val="TableBullet1"/>
              <w:keepNext/>
              <w:numPr>
                <w:ilvl w:val="0"/>
                <w:numId w:val="0"/>
              </w:numPr>
              <w:tabs>
                <w:tab w:val="left" w:pos="720"/>
              </w:tabs>
              <w:spacing w:before="20" w:after="20"/>
              <w:ind w:left="129"/>
              <w:rPr>
                <w:rFonts w:eastAsiaTheme="majorEastAsia"/>
                <w:color w:val="000000" w:themeColor="text1"/>
                <w:sz w:val="20"/>
                <w:szCs w:val="20"/>
              </w:rPr>
            </w:pPr>
            <w:r w:rsidRPr="000C52CD">
              <w:rPr>
                <w:rFonts w:eastAsiaTheme="majorEastAsia"/>
                <w:color w:val="000000" w:themeColor="text1"/>
                <w:sz w:val="20"/>
                <w:szCs w:val="20"/>
              </w:rPr>
              <w:t>A)</w:t>
            </w:r>
          </w:p>
        </w:tc>
        <w:tc>
          <w:tcPr>
            <w:tcW w:w="2787" w:type="pct"/>
            <w:shd w:val="clear" w:color="auto" w:fill="auto"/>
            <w:vAlign w:val="center"/>
          </w:tcPr>
          <w:p w:rsidR="00A93F9D" w:rsidRPr="000C52CD"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0C52CD">
              <w:rPr>
                <w:sz w:val="20"/>
                <w:szCs w:val="20"/>
              </w:rPr>
              <w:t>The paper canvasses a number of options for making the ISP actionable. How may the existing risk allocation for consumers, TNSPs and generators change under the proposed options?</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Pr="000C52CD" w:rsidRDefault="00A93F9D" w:rsidP="00F572FE">
            <w:pPr>
              <w:pStyle w:val="TableBullet1"/>
              <w:keepNext/>
              <w:tabs>
                <w:tab w:val="left" w:pos="720"/>
              </w:tabs>
              <w:spacing w:before="20" w:after="20"/>
              <w:ind w:left="129"/>
              <w:rPr>
                <w:rFonts w:eastAsiaTheme="majorEastAsia"/>
                <w:color w:val="000000" w:themeColor="text1"/>
                <w:sz w:val="20"/>
                <w:szCs w:val="20"/>
              </w:rPr>
            </w:pPr>
            <w:r w:rsidRPr="000C52CD">
              <w:rPr>
                <w:rFonts w:eastAsiaTheme="majorEastAsia"/>
                <w:color w:val="000000" w:themeColor="text1"/>
                <w:sz w:val="20"/>
                <w:szCs w:val="20"/>
              </w:rPr>
              <w:t>B)</w:t>
            </w:r>
          </w:p>
        </w:tc>
        <w:tc>
          <w:tcPr>
            <w:tcW w:w="2787" w:type="pct"/>
            <w:shd w:val="clear" w:color="auto" w:fill="auto"/>
            <w:vAlign w:val="center"/>
          </w:tcPr>
          <w:p w:rsidR="00A93F9D" w:rsidRPr="000C52CD"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0C52CD">
              <w:rPr>
                <w:sz w:val="20"/>
                <w:szCs w:val="20"/>
              </w:rPr>
              <w:t>What other regulatory changes may be required in order to mitigate against changes in the risk allocation?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vAlign w:val="center"/>
          </w:tcPr>
          <w:p w:rsidR="00A93F9D" w:rsidRPr="000C52CD"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0C52CD">
              <w:rPr>
                <w:rFonts w:eastAsiaTheme="majorEastAsia"/>
                <w:b/>
                <w:color w:val="000000" w:themeColor="text1"/>
                <w:sz w:val="20"/>
                <w:szCs w:val="20"/>
              </w:rPr>
              <w:t xml:space="preserve">Question 5: </w:t>
            </w:r>
            <w:r w:rsidRPr="000C52CD">
              <w:rPr>
                <w:b/>
                <w:sz w:val="20"/>
                <w:szCs w:val="20"/>
              </w:rPr>
              <w:t>Level of consultation required under each of the options for how the ISP could be made actionable</w:t>
            </w:r>
          </w:p>
        </w:tc>
      </w:tr>
      <w:tr w:rsidR="00A93F9D" w:rsidRPr="00327EA7" w:rsidTr="00F572FE">
        <w:trPr>
          <w:trHeight w:val="454"/>
        </w:trPr>
        <w:tc>
          <w:tcPr>
            <w:tcW w:w="236"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color w:val="000000" w:themeColor="text1"/>
                <w:sz w:val="20"/>
                <w:szCs w:val="20"/>
              </w:rPr>
            </w:pPr>
            <w:r w:rsidRPr="00147103">
              <w:rPr>
                <w:rFonts w:eastAsiaTheme="majorEastAsia"/>
                <w:color w:val="000000" w:themeColor="text1"/>
                <w:sz w:val="20"/>
                <w:szCs w:val="20"/>
              </w:rPr>
              <w:t>A)</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147103">
              <w:rPr>
                <w:sz w:val="20"/>
                <w:szCs w:val="20"/>
              </w:rPr>
              <w:t>What do stakeholders think about the level of consultation that would be required under each of the options considered for how to make the ISP an actionable strategic plan?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color w:val="000000" w:themeColor="text1"/>
                <w:sz w:val="20"/>
                <w:szCs w:val="20"/>
              </w:rPr>
            </w:pPr>
            <w:r w:rsidRPr="00147103">
              <w:rPr>
                <w:rFonts w:eastAsiaTheme="majorEastAsia"/>
                <w:color w:val="000000" w:themeColor="text1"/>
                <w:sz w:val="20"/>
                <w:szCs w:val="20"/>
              </w:rPr>
              <w:t>B)</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b/>
                <w:color w:val="000000" w:themeColor="text1"/>
                <w:sz w:val="20"/>
                <w:szCs w:val="20"/>
              </w:rPr>
            </w:pPr>
            <w:r w:rsidRPr="00147103">
              <w:rPr>
                <w:sz w:val="20"/>
                <w:szCs w:val="20"/>
              </w:rPr>
              <w:t>Should there be more consultation for options that fall to the right-hand side of the table?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5000" w:type="pct"/>
            <w:gridSpan w:val="3"/>
            <w:shd w:val="clear" w:color="auto" w:fill="EEECE1" w:themeFill="background2"/>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6: Role of the ISP, option 1</w:t>
            </w:r>
            <w:r w:rsidR="0037783A">
              <w:rPr>
                <w:rFonts w:eastAsiaTheme="majorEastAsia"/>
                <w:b/>
                <w:color w:val="000000" w:themeColor="text1"/>
                <w:sz w:val="20"/>
                <w:szCs w:val="20"/>
              </w:rPr>
              <w:t xml:space="preserve"> – Requirement for TNSPs to consider ISP- identified needs in their </w:t>
            </w:r>
            <w:proofErr w:type="spellStart"/>
            <w:r w:rsidR="0037783A">
              <w:rPr>
                <w:rFonts w:eastAsiaTheme="majorEastAsia"/>
                <w:b/>
                <w:color w:val="000000" w:themeColor="text1"/>
                <w:sz w:val="20"/>
                <w:szCs w:val="20"/>
              </w:rPr>
              <w:t>TAPRs</w:t>
            </w:r>
            <w:proofErr w:type="spellEnd"/>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A)</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 xml:space="preserve">What are stakeholder views on </w:t>
            </w:r>
            <w:r>
              <w:rPr>
                <w:sz w:val="20"/>
                <w:szCs w:val="20"/>
              </w:rPr>
              <w:t>this option</w:t>
            </w:r>
            <w:r w:rsidRPr="00F94128">
              <w:rPr>
                <w:sz w:val="20"/>
                <w:szCs w:val="20"/>
              </w:rPr>
              <w:t xml:space="preserve"> for how to make the ISP an actionable strategic plan?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B)</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Would the effective delivery of this option have an impact on the speed with which “strategic, national” investments are made?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C)</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Are there any regulatory or other implications that are not raised in the discussion of this option?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5000" w:type="pct"/>
            <w:gridSpan w:val="3"/>
            <w:shd w:val="clear" w:color="auto" w:fill="EEECE1" w:themeFill="background2"/>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7: Role of the ISP, option 2</w:t>
            </w:r>
            <w:r w:rsidR="00D91E62">
              <w:rPr>
                <w:rFonts w:eastAsiaTheme="majorEastAsia"/>
                <w:b/>
                <w:color w:val="000000" w:themeColor="text1"/>
                <w:sz w:val="20"/>
                <w:szCs w:val="20"/>
              </w:rPr>
              <w:t xml:space="preserve"> – Requirement for TNSPs to conduct RIT-T on ISP- identified needs and options</w:t>
            </w: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A)</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sz w:val="20"/>
                <w:szCs w:val="20"/>
              </w:rPr>
            </w:pPr>
            <w:r w:rsidRPr="00F94128">
              <w:rPr>
                <w:sz w:val="20"/>
                <w:szCs w:val="20"/>
              </w:rPr>
              <w:t xml:space="preserve">What are stakeholder views on </w:t>
            </w:r>
            <w:r>
              <w:rPr>
                <w:sz w:val="20"/>
                <w:szCs w:val="20"/>
              </w:rPr>
              <w:t>this option</w:t>
            </w:r>
            <w:r w:rsidRPr="00F94128">
              <w:rPr>
                <w:sz w:val="20"/>
                <w:szCs w:val="20"/>
              </w:rPr>
              <w:t xml:space="preserve"> for how to make the ISP an actionable strategic plan?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Pr="00147103"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B)</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sz w:val="20"/>
                <w:szCs w:val="20"/>
              </w:rPr>
            </w:pPr>
            <w:r w:rsidRPr="00F94128">
              <w:rPr>
                <w:sz w:val="20"/>
                <w:szCs w:val="20"/>
              </w:rPr>
              <w:t>Would the effective delivery of this option have an impact on the speed with which “strategic, national” investments are made?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C)</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sz w:val="20"/>
                <w:szCs w:val="20"/>
              </w:rPr>
            </w:pPr>
            <w:r w:rsidRPr="00F94128">
              <w:rPr>
                <w:sz w:val="20"/>
                <w:szCs w:val="20"/>
              </w:rPr>
              <w:t>Are there any regulatory or other implications that are not raised in the discussion of this option?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5000" w:type="pct"/>
            <w:gridSpan w:val="3"/>
            <w:shd w:val="clear" w:color="auto" w:fill="EEECE1" w:themeFill="background2"/>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8: Role of the ISP, option 3</w:t>
            </w:r>
            <w:r w:rsidR="00D91E62">
              <w:rPr>
                <w:rFonts w:eastAsiaTheme="majorEastAsia"/>
                <w:b/>
                <w:color w:val="000000" w:themeColor="text1"/>
                <w:sz w:val="20"/>
                <w:szCs w:val="20"/>
              </w:rPr>
              <w:t xml:space="preserve"> – AEMO determines “best” option</w:t>
            </w: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A)</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sz w:val="20"/>
                <w:szCs w:val="20"/>
              </w:rPr>
            </w:pPr>
            <w:r w:rsidRPr="00F94128">
              <w:rPr>
                <w:sz w:val="20"/>
                <w:szCs w:val="20"/>
              </w:rPr>
              <w:t xml:space="preserve">What are stakeholder views on </w:t>
            </w:r>
            <w:r>
              <w:rPr>
                <w:sz w:val="20"/>
                <w:szCs w:val="20"/>
              </w:rPr>
              <w:t>this option</w:t>
            </w:r>
            <w:r w:rsidRPr="00F94128">
              <w:rPr>
                <w:sz w:val="20"/>
                <w:szCs w:val="20"/>
              </w:rPr>
              <w:t xml:space="preserve"> for how to make the ISP an actionable strategic plan?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B)</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sz w:val="20"/>
                <w:szCs w:val="20"/>
              </w:rPr>
            </w:pPr>
            <w:r w:rsidRPr="00F94128">
              <w:rPr>
                <w:sz w:val="20"/>
                <w:szCs w:val="20"/>
              </w:rPr>
              <w:t>Would the effective delivery of this option have an impact on the speed with which “strategic, national” investments are made?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C)</w:t>
            </w:r>
          </w:p>
        </w:tc>
        <w:tc>
          <w:tcPr>
            <w:tcW w:w="2787" w:type="pct"/>
            <w:shd w:val="clear" w:color="auto" w:fill="auto"/>
            <w:vAlign w:val="center"/>
          </w:tcPr>
          <w:p w:rsidR="00A93F9D" w:rsidRPr="00147103" w:rsidRDefault="00A93F9D" w:rsidP="00F572FE">
            <w:pPr>
              <w:pStyle w:val="TableBullet1"/>
              <w:keepNext/>
              <w:tabs>
                <w:tab w:val="left" w:pos="720"/>
              </w:tabs>
              <w:spacing w:before="20" w:after="20"/>
              <w:ind w:left="129"/>
              <w:rPr>
                <w:sz w:val="20"/>
                <w:szCs w:val="20"/>
              </w:rPr>
            </w:pPr>
            <w:r w:rsidRPr="00F94128">
              <w:rPr>
                <w:sz w:val="20"/>
                <w:szCs w:val="20"/>
              </w:rPr>
              <w:t>Are there any regulatory or other implications that are not raised in the discussion of this option?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5000" w:type="pct"/>
            <w:gridSpan w:val="3"/>
            <w:shd w:val="clear" w:color="auto" w:fill="EEECE1" w:themeFill="background2"/>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9: Role of the ISP, option 4</w:t>
            </w:r>
            <w:r w:rsidR="00D91E62">
              <w:rPr>
                <w:rFonts w:eastAsiaTheme="majorEastAsia"/>
                <w:b/>
                <w:color w:val="000000" w:themeColor="text1"/>
                <w:sz w:val="20"/>
                <w:szCs w:val="20"/>
              </w:rPr>
              <w:t xml:space="preserve"> – AEMO directs TNSP to proceed with the “best” option</w:t>
            </w: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A)</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 xml:space="preserve">What are stakeholder views on </w:t>
            </w:r>
            <w:r>
              <w:rPr>
                <w:sz w:val="20"/>
                <w:szCs w:val="20"/>
              </w:rPr>
              <w:t>this option</w:t>
            </w:r>
            <w:r w:rsidRPr="00F94128">
              <w:rPr>
                <w:sz w:val="20"/>
                <w:szCs w:val="20"/>
              </w:rPr>
              <w:t xml:space="preserve"> for how to make the ISP an actionable strategic plan?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B)</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Would the effective delivery of this option have an impact on the speed with which “strategic, national” investments are made?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C)</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Are there any regulatory or other implications that are not raised in the discussion of this option?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5000" w:type="pct"/>
            <w:gridSpan w:val="3"/>
            <w:shd w:val="clear" w:color="auto" w:fill="EEECE1" w:themeFill="background2"/>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Question 10: Role of the ISP, option 5</w:t>
            </w:r>
            <w:r w:rsidR="00D91E62">
              <w:rPr>
                <w:rFonts w:eastAsiaTheme="majorEastAsia"/>
                <w:b/>
                <w:color w:val="000000" w:themeColor="text1"/>
                <w:sz w:val="20"/>
                <w:szCs w:val="20"/>
              </w:rPr>
              <w:t xml:space="preserve"> – AEMO directs TNSP to implement the investment</w:t>
            </w: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A93F9D" w:rsidP="00F572FE">
            <w:pPr>
              <w:pStyle w:val="TableBullet1"/>
              <w:keepNext/>
              <w:tabs>
                <w:tab w:val="left" w:pos="720"/>
              </w:tabs>
              <w:spacing w:before="20" w:after="20"/>
              <w:ind w:left="129"/>
              <w:rPr>
                <w:rFonts w:eastAsiaTheme="majorEastAsia"/>
                <w:color w:val="000000" w:themeColor="text1"/>
                <w:sz w:val="20"/>
                <w:szCs w:val="20"/>
              </w:rPr>
            </w:pPr>
            <w:r>
              <w:rPr>
                <w:rFonts w:eastAsiaTheme="majorEastAsia"/>
                <w:color w:val="000000" w:themeColor="text1"/>
                <w:sz w:val="20"/>
                <w:szCs w:val="20"/>
              </w:rPr>
              <w:t>A)</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 xml:space="preserve">What are stakeholder views on </w:t>
            </w:r>
            <w:r>
              <w:rPr>
                <w:sz w:val="20"/>
                <w:szCs w:val="20"/>
              </w:rPr>
              <w:t>this option</w:t>
            </w:r>
            <w:r w:rsidRPr="00F94128">
              <w:rPr>
                <w:sz w:val="20"/>
                <w:szCs w:val="20"/>
              </w:rPr>
              <w:t xml:space="preserve"> for how to make the ISP an actionable strategic plan?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Default="008B61FD" w:rsidP="00F572FE">
            <w:pPr>
              <w:pStyle w:val="TableBullet1"/>
              <w:keepNext/>
              <w:numPr>
                <w:ilvl w:val="0"/>
                <w:numId w:val="0"/>
              </w:numPr>
              <w:tabs>
                <w:tab w:val="left" w:pos="720"/>
              </w:tabs>
              <w:spacing w:before="20" w:after="20"/>
              <w:ind w:left="-98"/>
              <w:jc w:val="center"/>
              <w:rPr>
                <w:rFonts w:eastAsiaTheme="majorEastAsia"/>
                <w:color w:val="000000" w:themeColor="text1"/>
                <w:sz w:val="20"/>
                <w:szCs w:val="20"/>
              </w:rPr>
            </w:pPr>
            <w:r>
              <w:rPr>
                <w:rFonts w:eastAsiaTheme="majorEastAsia"/>
                <w:color w:val="000000" w:themeColor="text1"/>
                <w:sz w:val="20"/>
                <w:szCs w:val="20"/>
              </w:rPr>
              <w:t xml:space="preserve">  </w:t>
            </w:r>
            <w:r w:rsidR="00A93F9D">
              <w:rPr>
                <w:rFonts w:eastAsiaTheme="majorEastAsia"/>
                <w:color w:val="000000" w:themeColor="text1"/>
                <w:sz w:val="20"/>
                <w:szCs w:val="20"/>
              </w:rPr>
              <w:t>B)</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Would the effective delivery of this option have an impact on the speed with which “strategic, national” investments are made?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8B61FD" w:rsidP="00F572FE">
            <w:pPr>
              <w:pStyle w:val="TableBullet1"/>
              <w:keepNext/>
              <w:numPr>
                <w:ilvl w:val="0"/>
                <w:numId w:val="0"/>
              </w:numPr>
              <w:tabs>
                <w:tab w:val="left" w:pos="720"/>
              </w:tabs>
              <w:spacing w:before="20" w:after="20"/>
              <w:ind w:left="-98"/>
              <w:jc w:val="center"/>
              <w:rPr>
                <w:rFonts w:eastAsiaTheme="majorEastAsia"/>
                <w:color w:val="000000" w:themeColor="text1"/>
                <w:sz w:val="20"/>
                <w:szCs w:val="20"/>
              </w:rPr>
            </w:pPr>
            <w:r>
              <w:rPr>
                <w:rFonts w:eastAsiaTheme="majorEastAsia"/>
                <w:color w:val="000000" w:themeColor="text1"/>
                <w:sz w:val="20"/>
                <w:szCs w:val="20"/>
              </w:rPr>
              <w:t xml:space="preserve">  </w:t>
            </w:r>
            <w:r w:rsidR="00A93F9D">
              <w:rPr>
                <w:rFonts w:eastAsiaTheme="majorEastAsia"/>
                <w:color w:val="000000" w:themeColor="text1"/>
                <w:sz w:val="20"/>
                <w:szCs w:val="20"/>
              </w:rPr>
              <w:t>C)</w:t>
            </w:r>
          </w:p>
        </w:tc>
        <w:tc>
          <w:tcPr>
            <w:tcW w:w="2787" w:type="pct"/>
            <w:shd w:val="clear" w:color="auto" w:fill="auto"/>
            <w:vAlign w:val="center"/>
          </w:tcPr>
          <w:p w:rsidR="00A93F9D" w:rsidRPr="00F94128" w:rsidRDefault="00A93F9D" w:rsidP="00F572FE">
            <w:pPr>
              <w:pStyle w:val="TableBullet1"/>
              <w:keepNext/>
              <w:tabs>
                <w:tab w:val="left" w:pos="720"/>
              </w:tabs>
              <w:spacing w:before="20" w:after="20"/>
              <w:ind w:left="129"/>
              <w:rPr>
                <w:sz w:val="20"/>
                <w:szCs w:val="20"/>
              </w:rPr>
            </w:pPr>
            <w:r w:rsidRPr="00F94128">
              <w:rPr>
                <w:sz w:val="20"/>
                <w:szCs w:val="20"/>
              </w:rPr>
              <w:t>Are there any regulatory or other implications that are not raised in the discussion of this option?</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5000" w:type="pct"/>
            <w:gridSpan w:val="3"/>
            <w:shd w:val="clear" w:color="auto" w:fill="EEECE1" w:themeFill="background2"/>
            <w:vAlign w:val="center"/>
          </w:tcPr>
          <w:p w:rsidR="00A93F9D" w:rsidRPr="00F66953" w:rsidRDefault="00231EB4" w:rsidP="00F572FE">
            <w:pPr>
              <w:pStyle w:val="TableBullet1"/>
              <w:keepNext/>
              <w:tabs>
                <w:tab w:val="left" w:pos="720"/>
              </w:tabs>
              <w:spacing w:before="20" w:after="20"/>
              <w:ind w:left="129"/>
              <w:rPr>
                <w:rFonts w:eastAsiaTheme="majorEastAsia"/>
                <w:b/>
                <w:color w:val="000000" w:themeColor="text1"/>
                <w:sz w:val="20"/>
                <w:szCs w:val="20"/>
              </w:rPr>
            </w:pPr>
            <w:r>
              <w:rPr>
                <w:rFonts w:eastAsiaTheme="majorEastAsia"/>
                <w:b/>
                <w:color w:val="000000" w:themeColor="text1"/>
                <w:sz w:val="20"/>
                <w:szCs w:val="20"/>
              </w:rPr>
              <w:t xml:space="preserve">Question 11: Other </w:t>
            </w:r>
            <w:r w:rsidR="00A93F9D">
              <w:rPr>
                <w:rFonts w:eastAsiaTheme="majorEastAsia"/>
                <w:b/>
                <w:color w:val="000000" w:themeColor="text1"/>
                <w:sz w:val="20"/>
                <w:szCs w:val="20"/>
              </w:rPr>
              <w:t>options and considerations</w:t>
            </w:r>
          </w:p>
        </w:tc>
      </w:tr>
      <w:tr w:rsidR="00A93F9D" w:rsidRPr="00327EA7"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Default="008B61FD" w:rsidP="00F572FE">
            <w:pPr>
              <w:pStyle w:val="TableBullet1"/>
              <w:keepNext/>
              <w:numPr>
                <w:ilvl w:val="0"/>
                <w:numId w:val="0"/>
              </w:numPr>
              <w:tabs>
                <w:tab w:val="left" w:pos="720"/>
              </w:tabs>
              <w:spacing w:before="20" w:after="20"/>
              <w:ind w:left="-98"/>
              <w:jc w:val="center"/>
              <w:rPr>
                <w:rFonts w:eastAsiaTheme="majorEastAsia"/>
                <w:color w:val="000000" w:themeColor="text1"/>
                <w:sz w:val="20"/>
                <w:szCs w:val="20"/>
              </w:rPr>
            </w:pPr>
            <w:r>
              <w:rPr>
                <w:rFonts w:eastAsiaTheme="majorEastAsia"/>
                <w:color w:val="000000" w:themeColor="text1"/>
                <w:sz w:val="20"/>
                <w:szCs w:val="20"/>
              </w:rPr>
              <w:t xml:space="preserve">  </w:t>
            </w:r>
            <w:r w:rsidR="00F572FE">
              <w:rPr>
                <w:rFonts w:eastAsiaTheme="majorEastAsia"/>
                <w:color w:val="000000" w:themeColor="text1"/>
                <w:sz w:val="20"/>
                <w:szCs w:val="20"/>
              </w:rPr>
              <w:t xml:space="preserve"> </w:t>
            </w:r>
            <w:r w:rsidR="00A93F9D">
              <w:rPr>
                <w:rFonts w:eastAsiaTheme="majorEastAsia"/>
                <w:color w:val="000000" w:themeColor="text1"/>
                <w:sz w:val="20"/>
                <w:szCs w:val="20"/>
              </w:rPr>
              <w:t>A)</w:t>
            </w:r>
          </w:p>
        </w:tc>
        <w:tc>
          <w:tcPr>
            <w:tcW w:w="2787" w:type="pct"/>
            <w:shd w:val="clear" w:color="auto" w:fill="auto"/>
            <w:vAlign w:val="center"/>
          </w:tcPr>
          <w:p w:rsidR="00A93F9D" w:rsidRPr="00D27F37" w:rsidRDefault="00A93F9D" w:rsidP="00F572FE">
            <w:pPr>
              <w:pStyle w:val="TableBullet1"/>
              <w:keepNext/>
              <w:tabs>
                <w:tab w:val="left" w:pos="720"/>
              </w:tabs>
              <w:spacing w:before="20" w:after="20"/>
              <w:ind w:left="129"/>
              <w:rPr>
                <w:sz w:val="20"/>
                <w:szCs w:val="20"/>
              </w:rPr>
            </w:pPr>
            <w:r w:rsidRPr="00D27F37">
              <w:rPr>
                <w:sz w:val="20"/>
                <w:szCs w:val="20"/>
              </w:rPr>
              <w:t>Are there other options to strengthen the link between the ISP and individual TNSP investments that are not raised here?</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327EA7" w:rsidTr="00F572FE">
        <w:trPr>
          <w:trHeight w:val="454"/>
        </w:trPr>
        <w:tc>
          <w:tcPr>
            <w:tcW w:w="236" w:type="pct"/>
            <w:shd w:val="clear" w:color="auto" w:fill="auto"/>
            <w:vAlign w:val="center"/>
          </w:tcPr>
          <w:p w:rsidR="00A93F9D" w:rsidRDefault="008B61FD" w:rsidP="00F572FE">
            <w:pPr>
              <w:pStyle w:val="TableBullet1"/>
              <w:keepNext/>
              <w:numPr>
                <w:ilvl w:val="0"/>
                <w:numId w:val="0"/>
              </w:numPr>
              <w:tabs>
                <w:tab w:val="left" w:pos="720"/>
              </w:tabs>
              <w:spacing w:before="20" w:after="20"/>
              <w:ind w:left="-98"/>
              <w:jc w:val="center"/>
              <w:rPr>
                <w:rFonts w:eastAsiaTheme="majorEastAsia"/>
                <w:color w:val="000000" w:themeColor="text1"/>
                <w:sz w:val="20"/>
                <w:szCs w:val="20"/>
              </w:rPr>
            </w:pPr>
            <w:r>
              <w:rPr>
                <w:rFonts w:eastAsiaTheme="majorEastAsia"/>
                <w:color w:val="000000" w:themeColor="text1"/>
                <w:sz w:val="20"/>
                <w:szCs w:val="20"/>
              </w:rPr>
              <w:t xml:space="preserve">  </w:t>
            </w:r>
            <w:r w:rsidR="00F572FE">
              <w:rPr>
                <w:rFonts w:eastAsiaTheme="majorEastAsia"/>
                <w:color w:val="000000" w:themeColor="text1"/>
                <w:sz w:val="20"/>
                <w:szCs w:val="20"/>
              </w:rPr>
              <w:t xml:space="preserve"> </w:t>
            </w:r>
            <w:r w:rsidR="00A93F9D">
              <w:rPr>
                <w:rFonts w:eastAsiaTheme="majorEastAsia"/>
                <w:color w:val="000000" w:themeColor="text1"/>
                <w:sz w:val="20"/>
                <w:szCs w:val="20"/>
              </w:rPr>
              <w:t>B)</w:t>
            </w:r>
          </w:p>
        </w:tc>
        <w:tc>
          <w:tcPr>
            <w:tcW w:w="2787" w:type="pct"/>
            <w:shd w:val="clear" w:color="auto" w:fill="auto"/>
            <w:vAlign w:val="center"/>
          </w:tcPr>
          <w:p w:rsidR="00A93F9D" w:rsidRPr="00D27F37" w:rsidRDefault="00A93F9D" w:rsidP="00F572FE">
            <w:pPr>
              <w:pStyle w:val="TableBullet1"/>
              <w:keepNext/>
              <w:tabs>
                <w:tab w:val="left" w:pos="720"/>
              </w:tabs>
              <w:spacing w:before="20" w:after="20"/>
              <w:ind w:left="129"/>
              <w:rPr>
                <w:sz w:val="20"/>
                <w:szCs w:val="20"/>
              </w:rPr>
            </w:pPr>
            <w:r w:rsidRPr="00D27F37">
              <w:rPr>
                <w:sz w:val="20"/>
                <w:szCs w:val="20"/>
              </w:rPr>
              <w:t>Are there any other matters that should be taken into account when considering options to strengthen the link between the ISP and TNSPs’ individual investments?</w:t>
            </w:r>
          </w:p>
        </w:tc>
        <w:tc>
          <w:tcPr>
            <w:tcW w:w="1977" w:type="pct"/>
            <w:shd w:val="clear" w:color="auto" w:fill="auto"/>
            <w:vAlign w:val="center"/>
          </w:tcPr>
          <w:p w:rsidR="00A93F9D" w:rsidRPr="00F66953" w:rsidRDefault="00A93F9D" w:rsidP="00F572FE">
            <w:pPr>
              <w:pStyle w:val="TableBullet1"/>
              <w:keepNext/>
              <w:tabs>
                <w:tab w:val="left" w:pos="720"/>
              </w:tabs>
              <w:spacing w:before="20" w:after="20"/>
              <w:ind w:left="129"/>
              <w:rPr>
                <w:rFonts w:eastAsiaTheme="majorEastAsia"/>
                <w:b/>
                <w:color w:val="000000" w:themeColor="text1"/>
                <w:sz w:val="20"/>
                <w:szCs w:val="20"/>
              </w:rPr>
            </w:pPr>
          </w:p>
        </w:tc>
      </w:tr>
      <w:tr w:rsidR="00A93F9D" w:rsidRPr="00BF2FBE" w:rsidTr="00F572F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rsidR="00A93F9D" w:rsidRPr="00BF2FBE" w:rsidRDefault="00A93F9D" w:rsidP="00F572FE">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 xml:space="preserve">Chapter 5 – </w:t>
            </w:r>
            <w:r w:rsidRPr="00D27F37">
              <w:rPr>
                <w:rFonts w:eastAsiaTheme="majorEastAsia"/>
                <w:b/>
                <w:color w:val="FFFFFF" w:themeColor="background1"/>
                <w:sz w:val="20"/>
                <w:szCs w:val="19"/>
              </w:rPr>
              <w:t>the regulatory investment test for transmission</w:t>
            </w:r>
          </w:p>
        </w:tc>
      </w:tr>
      <w:tr w:rsidR="00A93F9D" w:rsidRPr="00BF2FBE" w:rsidTr="00F572FE">
        <w:trPr>
          <w:trHeight w:val="454"/>
        </w:trPr>
        <w:tc>
          <w:tcPr>
            <w:tcW w:w="5000" w:type="pct"/>
            <w:gridSpan w:val="3"/>
            <w:shd w:val="clear" w:color="auto" w:fill="EEECE1" w:themeFill="background2"/>
            <w:vAlign w:val="center"/>
          </w:tcPr>
          <w:p w:rsidR="00A93F9D" w:rsidRPr="003361B4" w:rsidRDefault="00A93F9D" w:rsidP="00F572FE">
            <w:pPr>
              <w:pStyle w:val="TableBullet1"/>
              <w:keepNext/>
              <w:tabs>
                <w:tab w:val="left" w:pos="720"/>
              </w:tabs>
              <w:spacing w:before="20" w:after="20"/>
              <w:ind w:left="131"/>
              <w:rPr>
                <w:rFonts w:asciiTheme="majorHAnsi" w:hAnsiTheme="majorHAnsi" w:cstheme="majorHAnsi"/>
                <w:b/>
                <w:sz w:val="20"/>
                <w:szCs w:val="20"/>
                <w:lang w:eastAsia="fr-CA"/>
              </w:rPr>
            </w:pPr>
            <w:r w:rsidRPr="00231EB4">
              <w:rPr>
                <w:rFonts w:eastAsiaTheme="majorEastAsia"/>
                <w:b/>
                <w:color w:val="000000" w:themeColor="text1"/>
                <w:sz w:val="20"/>
                <w:szCs w:val="20"/>
              </w:rPr>
              <w:t>Question 12: RIT-T benefits</w:t>
            </w:r>
          </w:p>
        </w:tc>
      </w:tr>
      <w:tr w:rsidR="00A93F9D" w:rsidRPr="00BF2FBE" w:rsidTr="00F572FE">
        <w:trPr>
          <w:cnfStyle w:val="000000010000" w:firstRow="0" w:lastRow="0" w:firstColumn="0" w:lastColumn="0" w:oddVBand="0" w:evenVBand="0" w:oddHBand="0" w:evenHBand="1" w:firstRowFirstColumn="0" w:firstRowLastColumn="0" w:lastRowFirstColumn="0" w:lastRowLastColumn="0"/>
          <w:trHeight w:val="454"/>
        </w:trPr>
        <w:tc>
          <w:tcPr>
            <w:tcW w:w="236" w:type="pct"/>
            <w:shd w:val="clear" w:color="auto" w:fill="auto"/>
            <w:vAlign w:val="center"/>
          </w:tcPr>
          <w:p w:rsidR="00A93F9D" w:rsidRPr="00231EB4" w:rsidRDefault="008B61FD" w:rsidP="008B61FD">
            <w:pPr>
              <w:pStyle w:val="ListParagraph"/>
              <w:spacing w:before="120" w:after="120"/>
              <w:ind w:left="360" w:hanging="208"/>
              <w:rPr>
                <w:rFonts w:ascii="Arial" w:eastAsiaTheme="majorEastAsia" w:hAnsi="Arial" w:cs="Arial"/>
                <w:sz w:val="20"/>
                <w:szCs w:val="20"/>
              </w:rPr>
            </w:pPr>
            <w:r>
              <w:rPr>
                <w:rFonts w:ascii="Arial" w:eastAsiaTheme="majorEastAsia" w:hAnsi="Arial" w:cs="Arial"/>
                <w:sz w:val="20"/>
                <w:szCs w:val="20"/>
              </w:rPr>
              <w:t xml:space="preserve"> </w:t>
            </w:r>
            <w:r w:rsidR="00A93F9D" w:rsidRPr="00231EB4">
              <w:rPr>
                <w:rFonts w:ascii="Arial" w:eastAsiaTheme="majorEastAsia" w:hAnsi="Arial" w:cs="Arial"/>
                <w:sz w:val="20"/>
                <w:szCs w:val="20"/>
              </w:rPr>
              <w:t>A)</w:t>
            </w:r>
          </w:p>
        </w:tc>
        <w:tc>
          <w:tcPr>
            <w:tcW w:w="2787" w:type="pct"/>
            <w:shd w:val="clear" w:color="auto" w:fill="auto"/>
            <w:vAlign w:val="center"/>
          </w:tcPr>
          <w:p w:rsidR="00A93F9D" w:rsidRPr="003361B4" w:rsidRDefault="00A93F9D" w:rsidP="00F572FE">
            <w:pPr>
              <w:pStyle w:val="ListNumber"/>
              <w:rPr>
                <w:rFonts w:asciiTheme="majorHAnsi" w:hAnsiTheme="majorHAnsi" w:cstheme="majorHAnsi"/>
                <w:sz w:val="20"/>
                <w:szCs w:val="20"/>
                <w:lang w:eastAsia="fr-CA"/>
              </w:rPr>
            </w:pPr>
            <w:r w:rsidRPr="003361B4">
              <w:rPr>
                <w:sz w:val="20"/>
                <w:szCs w:val="20"/>
              </w:rPr>
              <w:t>Are there any additional benefit categories that should be considered in the RIT-T?</w:t>
            </w:r>
          </w:p>
        </w:tc>
        <w:tc>
          <w:tcPr>
            <w:tcW w:w="1977" w:type="pct"/>
            <w:shd w:val="clear" w:color="auto" w:fill="auto"/>
            <w:vAlign w:val="center"/>
          </w:tcPr>
          <w:p w:rsidR="00A93F9D" w:rsidRPr="00BF2FBE" w:rsidRDefault="00A93F9D" w:rsidP="00F572FE">
            <w:pPr>
              <w:pStyle w:val="TableBullet1"/>
              <w:keepNext/>
              <w:numPr>
                <w:ilvl w:val="0"/>
                <w:numId w:val="0"/>
              </w:numPr>
              <w:tabs>
                <w:tab w:val="left" w:pos="720"/>
              </w:tabs>
              <w:spacing w:before="20" w:after="20"/>
              <w:ind w:left="129"/>
              <w:rPr>
                <w:rFonts w:asciiTheme="majorHAnsi" w:hAnsiTheme="majorHAnsi" w:cstheme="majorHAnsi"/>
                <w:sz w:val="20"/>
                <w:szCs w:val="20"/>
                <w:lang w:eastAsia="fr-CA"/>
              </w:rPr>
            </w:pPr>
          </w:p>
        </w:tc>
      </w:tr>
      <w:tr w:rsidR="00A93F9D" w:rsidRPr="00BF2FBE" w:rsidTr="00F572FE">
        <w:trPr>
          <w:trHeight w:val="454"/>
        </w:trPr>
        <w:tc>
          <w:tcPr>
            <w:tcW w:w="236" w:type="pct"/>
            <w:shd w:val="clear" w:color="auto" w:fill="FFFFFF" w:themeFill="background1"/>
            <w:vAlign w:val="center"/>
          </w:tcPr>
          <w:p w:rsidR="00A93F9D" w:rsidRPr="00231EB4" w:rsidRDefault="008B61FD" w:rsidP="008B61FD">
            <w:pPr>
              <w:pStyle w:val="ListParagraph"/>
              <w:spacing w:before="120" w:after="120"/>
              <w:ind w:left="360" w:hanging="208"/>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B)</w:t>
            </w:r>
          </w:p>
        </w:tc>
        <w:tc>
          <w:tcPr>
            <w:tcW w:w="2787" w:type="pct"/>
            <w:shd w:val="clear" w:color="auto" w:fill="FFFFFF" w:themeFill="background1"/>
            <w:vAlign w:val="center"/>
          </w:tcPr>
          <w:p w:rsidR="00A93F9D" w:rsidRPr="003361B4" w:rsidRDefault="00A93F9D" w:rsidP="00F572FE">
            <w:pPr>
              <w:pStyle w:val="ListNumber"/>
              <w:rPr>
                <w:rFonts w:asciiTheme="majorHAnsi" w:hAnsiTheme="majorHAnsi" w:cstheme="majorHAnsi"/>
                <w:sz w:val="20"/>
                <w:szCs w:val="20"/>
                <w:lang w:eastAsia="fr-CA"/>
              </w:rPr>
            </w:pPr>
            <w:r w:rsidRPr="003361B4">
              <w:rPr>
                <w:sz w:val="20"/>
                <w:szCs w:val="20"/>
              </w:rPr>
              <w:t>Why have no network businesses sought approval from the AER for additional benefits to be considered in RIT-T assessments as allowed for under the current NER?</w:t>
            </w:r>
          </w:p>
        </w:tc>
        <w:tc>
          <w:tcPr>
            <w:tcW w:w="1977" w:type="pct"/>
            <w:shd w:val="clear" w:color="auto" w:fill="FFFFFF" w:themeFill="background1"/>
            <w:vAlign w:val="center"/>
          </w:tcPr>
          <w:p w:rsidR="00A93F9D" w:rsidRPr="00BF2FBE" w:rsidRDefault="00A93F9D" w:rsidP="00F572FE">
            <w:pPr>
              <w:pStyle w:val="TableBullet1"/>
              <w:keepNext/>
              <w:numPr>
                <w:ilvl w:val="0"/>
                <w:numId w:val="0"/>
              </w:numPr>
              <w:tabs>
                <w:tab w:val="left" w:pos="720"/>
              </w:tabs>
              <w:spacing w:before="20" w:after="20"/>
              <w:ind w:left="129"/>
              <w:rPr>
                <w:rFonts w:asciiTheme="majorHAnsi" w:hAnsiTheme="majorHAnsi" w:cstheme="majorHAnsi"/>
                <w:sz w:val="20"/>
                <w:szCs w:val="19"/>
                <w:lang w:eastAsia="fr-CA"/>
              </w:rPr>
            </w:pPr>
          </w:p>
        </w:tc>
      </w:tr>
      <w:tr w:rsidR="00F572FE" w:rsidRPr="00BF2FBE" w:rsidTr="00F572FE">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rsidR="00F572FE" w:rsidRPr="00F572FE" w:rsidRDefault="00F572FE" w:rsidP="00F572FE">
            <w:pPr>
              <w:pStyle w:val="TableBullet1"/>
              <w:keepNext/>
              <w:numPr>
                <w:ilvl w:val="0"/>
                <w:numId w:val="0"/>
              </w:numPr>
              <w:tabs>
                <w:tab w:val="left" w:pos="720"/>
              </w:tabs>
              <w:spacing w:before="120" w:after="120"/>
              <w:ind w:left="129"/>
              <w:rPr>
                <w:b/>
                <w:sz w:val="20"/>
                <w:szCs w:val="19"/>
                <w:lang w:eastAsia="fr-CA"/>
              </w:rPr>
            </w:pPr>
            <w:r w:rsidRPr="00F572FE">
              <w:rPr>
                <w:b/>
                <w:sz w:val="20"/>
                <w:szCs w:val="19"/>
                <w:lang w:eastAsia="fr-CA"/>
              </w:rPr>
              <w:t>Question 13</w:t>
            </w:r>
            <w:r>
              <w:rPr>
                <w:b/>
                <w:sz w:val="20"/>
                <w:szCs w:val="19"/>
                <w:lang w:eastAsia="fr-CA"/>
              </w:rPr>
              <w:t>: Potential concerns with the RIT-T process</w:t>
            </w:r>
          </w:p>
        </w:tc>
      </w:tr>
      <w:tr w:rsidR="00A93F9D" w:rsidRPr="00BF2FBE" w:rsidTr="00F572FE">
        <w:tc>
          <w:tcPr>
            <w:tcW w:w="236" w:type="pct"/>
            <w:shd w:val="clear" w:color="auto" w:fill="FFFFFF" w:themeFill="background1"/>
            <w:vAlign w:val="center"/>
          </w:tcPr>
          <w:p w:rsidR="00A93F9D" w:rsidRPr="00231EB4" w:rsidRDefault="00A93F9D" w:rsidP="00F572FE">
            <w:pPr>
              <w:spacing w:before="120" w:after="120"/>
              <w:jc w:val="center"/>
              <w:rPr>
                <w:rFonts w:eastAsiaTheme="majorEastAsia" w:cs="Arial"/>
                <w:sz w:val="20"/>
                <w:szCs w:val="20"/>
              </w:rPr>
            </w:pPr>
            <w:r w:rsidRPr="00231EB4">
              <w:rPr>
                <w:rFonts w:eastAsiaTheme="majorEastAsia" w:cs="Arial"/>
                <w:sz w:val="20"/>
                <w:szCs w:val="20"/>
              </w:rPr>
              <w:t>A)</w:t>
            </w:r>
          </w:p>
        </w:tc>
        <w:tc>
          <w:tcPr>
            <w:tcW w:w="2787" w:type="pct"/>
            <w:shd w:val="clear" w:color="auto" w:fill="FFFFFF" w:themeFill="background1"/>
          </w:tcPr>
          <w:p w:rsidR="00A93F9D" w:rsidRPr="003361B4" w:rsidRDefault="00A93F9D" w:rsidP="00F572FE">
            <w:pPr>
              <w:spacing w:before="120" w:after="120"/>
              <w:ind w:left="124"/>
              <w:rPr>
                <w:rFonts w:asciiTheme="majorHAnsi" w:hAnsiTheme="majorHAnsi" w:cstheme="majorHAnsi"/>
                <w:sz w:val="20"/>
                <w:szCs w:val="20"/>
                <w:lang w:eastAsia="fr-CA"/>
              </w:rPr>
            </w:pPr>
            <w:r w:rsidRPr="003361B4">
              <w:rPr>
                <w:sz w:val="20"/>
                <w:szCs w:val="20"/>
              </w:rPr>
              <w:t>What are stakeholder views on current limitations with the RIT-T process?</w:t>
            </w:r>
          </w:p>
        </w:tc>
        <w:tc>
          <w:tcPr>
            <w:tcW w:w="1977" w:type="pct"/>
            <w:shd w:val="clear" w:color="auto" w:fill="FFFFFF" w:themeFill="background1"/>
          </w:tcPr>
          <w:p w:rsidR="00A93F9D" w:rsidRPr="00BF2FBE" w:rsidRDefault="00A93F9D" w:rsidP="00F572F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A93F9D" w:rsidRPr="00BF2FBE"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vAlign w:val="center"/>
          </w:tcPr>
          <w:p w:rsidR="00A93F9D" w:rsidRPr="00231EB4" w:rsidRDefault="00A93F9D" w:rsidP="00F572FE">
            <w:pPr>
              <w:spacing w:before="120" w:after="120"/>
              <w:jc w:val="center"/>
              <w:rPr>
                <w:rFonts w:eastAsiaTheme="majorEastAsia" w:cs="Arial"/>
                <w:sz w:val="20"/>
                <w:szCs w:val="20"/>
              </w:rPr>
            </w:pPr>
            <w:r w:rsidRPr="00231EB4">
              <w:rPr>
                <w:rFonts w:eastAsiaTheme="majorEastAsia" w:cs="Arial"/>
                <w:sz w:val="20"/>
                <w:szCs w:val="20"/>
              </w:rPr>
              <w:t>B)</w:t>
            </w:r>
          </w:p>
        </w:tc>
        <w:tc>
          <w:tcPr>
            <w:tcW w:w="2787" w:type="pct"/>
            <w:shd w:val="clear" w:color="auto" w:fill="FFFFFF" w:themeFill="background1"/>
          </w:tcPr>
          <w:p w:rsidR="00A93F9D" w:rsidRPr="003361B4" w:rsidRDefault="00A93F9D" w:rsidP="00F572FE">
            <w:pPr>
              <w:spacing w:before="120" w:after="120"/>
              <w:ind w:left="124"/>
              <w:rPr>
                <w:rFonts w:asciiTheme="majorHAnsi" w:hAnsiTheme="majorHAnsi" w:cstheme="majorHAnsi"/>
                <w:sz w:val="20"/>
                <w:szCs w:val="20"/>
                <w:lang w:eastAsia="fr-CA"/>
              </w:rPr>
            </w:pPr>
            <w:r w:rsidRPr="003361B4">
              <w:rPr>
                <w:sz w:val="20"/>
                <w:szCs w:val="20"/>
              </w:rPr>
              <w:t>Setting aside the ISP and how to make it more “actionable,” what other issues warrant attention when considering the objective of the RIT-T?</w:t>
            </w:r>
          </w:p>
        </w:tc>
        <w:tc>
          <w:tcPr>
            <w:tcW w:w="1977" w:type="pct"/>
            <w:shd w:val="clear" w:color="auto" w:fill="FFFFFF" w:themeFill="background1"/>
          </w:tcPr>
          <w:p w:rsidR="00A93F9D" w:rsidRPr="00BF2FBE" w:rsidRDefault="00A93F9D" w:rsidP="00F572F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A93F9D" w:rsidRPr="00BF2FBE" w:rsidTr="00F572FE">
        <w:tc>
          <w:tcPr>
            <w:tcW w:w="236" w:type="pct"/>
            <w:shd w:val="clear" w:color="auto" w:fill="FFFFFF" w:themeFill="background1"/>
            <w:vAlign w:val="center"/>
          </w:tcPr>
          <w:p w:rsidR="00A93F9D" w:rsidRPr="00231EB4" w:rsidRDefault="00A93F9D" w:rsidP="00F572FE">
            <w:pPr>
              <w:spacing w:before="120" w:after="120"/>
              <w:jc w:val="center"/>
              <w:rPr>
                <w:rFonts w:eastAsiaTheme="majorEastAsia" w:cs="Arial"/>
                <w:sz w:val="20"/>
                <w:szCs w:val="20"/>
              </w:rPr>
            </w:pPr>
            <w:r w:rsidRPr="00231EB4">
              <w:rPr>
                <w:rFonts w:eastAsiaTheme="majorEastAsia" w:cs="Arial"/>
                <w:sz w:val="20"/>
                <w:szCs w:val="20"/>
              </w:rPr>
              <w:t>C)</w:t>
            </w:r>
          </w:p>
        </w:tc>
        <w:tc>
          <w:tcPr>
            <w:tcW w:w="2787" w:type="pct"/>
            <w:shd w:val="clear" w:color="auto" w:fill="FFFFFF" w:themeFill="background1"/>
          </w:tcPr>
          <w:p w:rsidR="00A93F9D" w:rsidRPr="003361B4" w:rsidRDefault="00A93F9D" w:rsidP="00F572FE">
            <w:pPr>
              <w:spacing w:before="120" w:after="120"/>
              <w:ind w:left="124"/>
              <w:rPr>
                <w:rFonts w:asciiTheme="majorHAnsi" w:hAnsiTheme="majorHAnsi" w:cstheme="majorHAnsi"/>
                <w:sz w:val="20"/>
                <w:szCs w:val="20"/>
                <w:lang w:eastAsia="fr-CA"/>
              </w:rPr>
            </w:pPr>
            <w:r w:rsidRPr="003361B4">
              <w:rPr>
                <w:sz w:val="20"/>
                <w:szCs w:val="20"/>
              </w:rPr>
              <w:t>What changes may make the existing RIT-T process “faster”?</w:t>
            </w:r>
          </w:p>
        </w:tc>
        <w:tc>
          <w:tcPr>
            <w:tcW w:w="1977" w:type="pct"/>
            <w:shd w:val="clear" w:color="auto" w:fill="FFFFFF" w:themeFill="background1"/>
          </w:tcPr>
          <w:p w:rsidR="00A93F9D" w:rsidRPr="00BF2FBE" w:rsidRDefault="00A93F9D" w:rsidP="00F572F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A93F9D" w:rsidRPr="00BF2FBE"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vAlign w:val="center"/>
          </w:tcPr>
          <w:p w:rsidR="00A93F9D" w:rsidRPr="00231EB4" w:rsidRDefault="00A93F9D" w:rsidP="00F572FE">
            <w:pPr>
              <w:spacing w:before="120" w:after="120"/>
              <w:jc w:val="center"/>
              <w:rPr>
                <w:rFonts w:eastAsiaTheme="majorEastAsia" w:cs="Arial"/>
                <w:sz w:val="20"/>
                <w:szCs w:val="20"/>
              </w:rPr>
            </w:pPr>
            <w:r w:rsidRPr="00231EB4">
              <w:rPr>
                <w:rFonts w:eastAsiaTheme="majorEastAsia" w:cs="Arial"/>
                <w:sz w:val="20"/>
                <w:szCs w:val="20"/>
              </w:rPr>
              <w:t>D)</w:t>
            </w:r>
          </w:p>
        </w:tc>
        <w:tc>
          <w:tcPr>
            <w:tcW w:w="2787" w:type="pct"/>
            <w:shd w:val="clear" w:color="auto" w:fill="FFFFFF" w:themeFill="background1"/>
          </w:tcPr>
          <w:p w:rsidR="00A93F9D" w:rsidRPr="003361B4" w:rsidRDefault="00A93F9D" w:rsidP="00F572FE">
            <w:pPr>
              <w:spacing w:before="120" w:after="120"/>
              <w:ind w:left="124"/>
              <w:rPr>
                <w:rFonts w:asciiTheme="majorHAnsi" w:hAnsiTheme="majorHAnsi" w:cstheme="majorHAnsi"/>
                <w:sz w:val="20"/>
                <w:szCs w:val="20"/>
                <w:lang w:eastAsia="fr-CA"/>
              </w:rPr>
            </w:pPr>
            <w:r w:rsidRPr="003361B4">
              <w:rPr>
                <w:sz w:val="20"/>
                <w:szCs w:val="20"/>
              </w:rPr>
              <w:t>What is the role of a dispute process in the RIT-T? How could spurious disputes be minimised?</w:t>
            </w:r>
          </w:p>
        </w:tc>
        <w:tc>
          <w:tcPr>
            <w:tcW w:w="1977" w:type="pct"/>
            <w:shd w:val="clear" w:color="auto" w:fill="FFFFFF" w:themeFill="background1"/>
          </w:tcPr>
          <w:p w:rsidR="00A93F9D" w:rsidRPr="00BF2FBE" w:rsidRDefault="00A93F9D" w:rsidP="00F572F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A93F9D" w:rsidRPr="00BF2FBE" w:rsidTr="00F572FE">
        <w:trPr>
          <w:trHeight w:val="454"/>
        </w:trPr>
        <w:tc>
          <w:tcPr>
            <w:tcW w:w="5000" w:type="pct"/>
            <w:gridSpan w:val="3"/>
            <w:shd w:val="clear" w:color="auto" w:fill="404040"/>
            <w:vAlign w:val="center"/>
          </w:tcPr>
          <w:p w:rsidR="00A93F9D" w:rsidRPr="00BF2FBE" w:rsidRDefault="00A93F9D" w:rsidP="00F572FE">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Pr>
                <w:rFonts w:eastAsiaTheme="majorEastAsia"/>
                <w:b/>
                <w:color w:val="FFFFFF" w:themeColor="background1"/>
                <w:sz w:val="20"/>
                <w:szCs w:val="19"/>
              </w:rPr>
              <w:t>Chapter 6</w:t>
            </w:r>
            <w:r w:rsidRPr="00BF2FBE">
              <w:rPr>
                <w:rFonts w:eastAsiaTheme="majorEastAsia"/>
                <w:b/>
                <w:color w:val="FFFFFF" w:themeColor="background1"/>
                <w:sz w:val="20"/>
                <w:szCs w:val="19"/>
              </w:rPr>
              <w:t xml:space="preserve"> – </w:t>
            </w:r>
            <w:r>
              <w:rPr>
                <w:rFonts w:eastAsiaTheme="majorEastAsia"/>
                <w:b/>
                <w:color w:val="FFFFFF" w:themeColor="background1"/>
                <w:sz w:val="20"/>
                <w:szCs w:val="19"/>
              </w:rPr>
              <w:t>Renewable Energy Zones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5000" w:type="pct"/>
            <w:gridSpan w:val="3"/>
          </w:tcPr>
          <w:p w:rsidR="00A93F9D" w:rsidRPr="00231EB4" w:rsidRDefault="00A93F9D" w:rsidP="00F572FE">
            <w:pPr>
              <w:pStyle w:val="TableBullet1"/>
              <w:keepNext/>
              <w:numPr>
                <w:ilvl w:val="0"/>
                <w:numId w:val="0"/>
              </w:numPr>
              <w:tabs>
                <w:tab w:val="left" w:pos="720"/>
              </w:tabs>
              <w:spacing w:before="120" w:after="120"/>
              <w:ind w:left="129"/>
              <w:rPr>
                <w:b/>
                <w:sz w:val="20"/>
                <w:szCs w:val="19"/>
                <w:lang w:eastAsia="fr-CA"/>
              </w:rPr>
            </w:pPr>
            <w:r w:rsidRPr="00231EB4">
              <w:rPr>
                <w:b/>
                <w:sz w:val="20"/>
                <w:szCs w:val="19"/>
                <w:lang w:eastAsia="fr-CA"/>
              </w:rPr>
              <w:t>Question 14: REZ options – enhanced information provision</w:t>
            </w:r>
          </w:p>
        </w:tc>
      </w:tr>
      <w:tr w:rsidR="00A93F9D" w:rsidRPr="00231EB4" w:rsidTr="00F572FE">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A)</w:t>
            </w:r>
          </w:p>
        </w:tc>
        <w:tc>
          <w:tcPr>
            <w:tcW w:w="2787" w:type="pct"/>
            <w:shd w:val="clear" w:color="auto" w:fill="auto"/>
          </w:tcPr>
          <w:p w:rsidR="00A93F9D" w:rsidRPr="00231EB4" w:rsidRDefault="00A93F9D" w:rsidP="00F572FE">
            <w:pPr>
              <w:spacing w:before="120" w:after="120"/>
              <w:ind w:left="124"/>
              <w:rPr>
                <w:rFonts w:cs="Arial"/>
                <w:sz w:val="20"/>
                <w:szCs w:val="20"/>
                <w:lang w:eastAsia="fr-CA"/>
              </w:rPr>
            </w:pPr>
            <w:r w:rsidRPr="00231EB4">
              <w:rPr>
                <w:rFonts w:cs="Arial"/>
                <w:sz w:val="20"/>
                <w:szCs w:val="20"/>
              </w:rPr>
              <w:t>Do stakeholders agree with our conclusions for how this model can occur under current regulatory arrangements?</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B)</w:t>
            </w:r>
          </w:p>
        </w:tc>
        <w:tc>
          <w:tcPr>
            <w:tcW w:w="2787" w:type="pct"/>
            <w:shd w:val="clear" w:color="auto" w:fill="FFFFFF" w:themeFill="background1"/>
          </w:tcPr>
          <w:p w:rsidR="00A93F9D" w:rsidRPr="00231EB4" w:rsidRDefault="00A93F9D" w:rsidP="00F572FE">
            <w:pPr>
              <w:spacing w:before="120" w:after="120"/>
              <w:ind w:left="124"/>
              <w:rPr>
                <w:rFonts w:cs="Arial"/>
                <w:sz w:val="20"/>
                <w:szCs w:val="20"/>
                <w:lang w:eastAsia="fr-CA"/>
              </w:rPr>
            </w:pPr>
            <w:r w:rsidRPr="00231EB4">
              <w:rPr>
                <w:rFonts w:cs="Arial"/>
                <w:sz w:val="20"/>
                <w:szCs w:val="20"/>
              </w:rPr>
              <w:t>Do stakeholders agree with our assessment of whether this REZ model is consistent with the options discussed for making the ISP actionable? What other considerations should be taken into account?</w:t>
            </w:r>
          </w:p>
        </w:tc>
        <w:tc>
          <w:tcPr>
            <w:tcW w:w="1977" w:type="pct"/>
            <w:shd w:val="clear" w:color="auto" w:fill="FFFFFF" w:themeFill="background1"/>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5000" w:type="pct"/>
            <w:gridSpan w:val="3"/>
            <w:shd w:val="clear" w:color="auto" w:fill="EEECE1" w:themeFill="background2"/>
          </w:tcPr>
          <w:p w:rsidR="00A93F9D" w:rsidRPr="00231EB4" w:rsidRDefault="00A93F9D" w:rsidP="00F572FE">
            <w:pPr>
              <w:pStyle w:val="TableBullet1"/>
              <w:keepNext/>
              <w:numPr>
                <w:ilvl w:val="0"/>
                <w:numId w:val="0"/>
              </w:numPr>
              <w:tabs>
                <w:tab w:val="left" w:pos="720"/>
              </w:tabs>
              <w:spacing w:before="120" w:after="120"/>
              <w:ind w:left="129"/>
              <w:rPr>
                <w:b/>
                <w:sz w:val="20"/>
                <w:szCs w:val="19"/>
                <w:lang w:eastAsia="fr-CA"/>
              </w:rPr>
            </w:pPr>
            <w:r w:rsidRPr="00231EB4">
              <w:rPr>
                <w:b/>
                <w:sz w:val="20"/>
                <w:szCs w:val="19"/>
                <w:lang w:eastAsia="fr-CA"/>
              </w:rPr>
              <w:t>Question 15: REZ options – generator coordination</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A)</w:t>
            </w:r>
          </w:p>
        </w:tc>
        <w:tc>
          <w:tcPr>
            <w:tcW w:w="2787" w:type="pct"/>
            <w:shd w:val="clear" w:color="auto" w:fill="FFFFFF" w:themeFill="background1"/>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conclusions for how this model can occur under current regulatory arrangements?</w:t>
            </w:r>
          </w:p>
        </w:tc>
        <w:tc>
          <w:tcPr>
            <w:tcW w:w="1977" w:type="pct"/>
            <w:shd w:val="clear" w:color="auto" w:fill="FFFFFF" w:themeFill="background1"/>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B)</w:t>
            </w:r>
          </w:p>
        </w:tc>
        <w:tc>
          <w:tcPr>
            <w:tcW w:w="2787" w:type="pct"/>
            <w:shd w:val="clear" w:color="auto" w:fill="auto"/>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assessment of whether this REZ model is consistent with the options discussed for making the ISP actionable? What other considerations should be taken into account?</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5000" w:type="pct"/>
            <w:gridSpan w:val="3"/>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r w:rsidRPr="00231EB4">
              <w:rPr>
                <w:b/>
                <w:sz w:val="20"/>
                <w:szCs w:val="19"/>
                <w:lang w:eastAsia="fr-CA"/>
              </w:rPr>
              <w:t>Question 16: REZ options – TNSP speculative investment</w:t>
            </w:r>
          </w:p>
        </w:tc>
      </w:tr>
      <w:tr w:rsidR="00A93F9D" w:rsidRPr="00231EB4" w:rsidTr="00F572FE">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A)</w:t>
            </w:r>
          </w:p>
        </w:tc>
        <w:tc>
          <w:tcPr>
            <w:tcW w:w="2787" w:type="pct"/>
            <w:shd w:val="clear" w:color="auto" w:fill="auto"/>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conclusions for how this model can occur under current regulatory arrangements?</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B)</w:t>
            </w:r>
          </w:p>
        </w:tc>
        <w:tc>
          <w:tcPr>
            <w:tcW w:w="2787" w:type="pct"/>
            <w:shd w:val="clear" w:color="auto" w:fill="auto"/>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assessment of whether this REZ model is consistent with the options discussed for making the ISP actionable? What other considerations should be taken into account?</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5000" w:type="pct"/>
            <w:gridSpan w:val="3"/>
            <w:shd w:val="clear" w:color="auto" w:fill="EEECE1" w:themeFill="background2"/>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r w:rsidRPr="00231EB4">
              <w:rPr>
                <w:b/>
                <w:sz w:val="20"/>
                <w:szCs w:val="19"/>
                <w:lang w:eastAsia="fr-CA"/>
              </w:rPr>
              <w:t xml:space="preserve">Question 17: REZ options – </w:t>
            </w:r>
            <w:r w:rsidR="008B61FD">
              <w:rPr>
                <w:b/>
                <w:sz w:val="20"/>
                <w:szCs w:val="19"/>
                <w:lang w:eastAsia="fr-CA"/>
              </w:rPr>
              <w:t xml:space="preserve">TNSP </w:t>
            </w:r>
            <w:bookmarkStart w:id="0" w:name="_GoBack"/>
            <w:bookmarkEnd w:id="0"/>
            <w:r w:rsidRPr="00231EB4">
              <w:rPr>
                <w:b/>
                <w:sz w:val="20"/>
                <w:szCs w:val="19"/>
                <w:lang w:eastAsia="fr-CA"/>
              </w:rPr>
              <w:t>prescribed services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A)</w:t>
            </w:r>
          </w:p>
        </w:tc>
        <w:tc>
          <w:tcPr>
            <w:tcW w:w="2787" w:type="pct"/>
            <w:shd w:val="clear" w:color="auto" w:fill="auto"/>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conclusions for how this model can occur under current regulatory arrangements?</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B)</w:t>
            </w:r>
          </w:p>
        </w:tc>
        <w:tc>
          <w:tcPr>
            <w:tcW w:w="2787" w:type="pct"/>
            <w:shd w:val="clear" w:color="auto" w:fill="auto"/>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assessment of whether this REZ model is consistent with the options discussed for making the ISP actionable? What other considerations should be taken into account?</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5000" w:type="pct"/>
            <w:gridSpan w:val="3"/>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r w:rsidRPr="00231EB4">
              <w:rPr>
                <w:b/>
                <w:sz w:val="20"/>
                <w:szCs w:val="19"/>
                <w:lang w:eastAsia="fr-CA"/>
              </w:rPr>
              <w:t>Question 18: REZ options – clustering</w:t>
            </w:r>
          </w:p>
        </w:tc>
      </w:tr>
      <w:tr w:rsidR="00A93F9D" w:rsidRPr="00231EB4" w:rsidTr="00F572FE">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A)</w:t>
            </w:r>
          </w:p>
        </w:tc>
        <w:tc>
          <w:tcPr>
            <w:tcW w:w="2787" w:type="pct"/>
            <w:shd w:val="clear" w:color="auto" w:fill="auto"/>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conclusions for how this model can occur under current regulatory arrangements?</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auto"/>
          </w:tcPr>
          <w:p w:rsidR="00A93F9D" w:rsidRPr="00231EB4" w:rsidRDefault="008B61FD" w:rsidP="00F572FE">
            <w:pPr>
              <w:pStyle w:val="ListParagraph"/>
              <w:spacing w:before="120" w:after="120"/>
              <w:ind w:left="75"/>
              <w:contextualSpacing w:val="0"/>
              <w:rPr>
                <w:rFonts w:ascii="Arial" w:eastAsiaTheme="majorEastAsia" w:hAnsi="Arial" w:cs="Arial"/>
                <w:sz w:val="20"/>
                <w:szCs w:val="19"/>
              </w:rPr>
            </w:pPr>
            <w:r>
              <w:rPr>
                <w:rFonts w:ascii="Arial" w:eastAsiaTheme="majorEastAsia" w:hAnsi="Arial" w:cs="Arial"/>
                <w:sz w:val="20"/>
                <w:szCs w:val="19"/>
              </w:rPr>
              <w:t xml:space="preserve">  </w:t>
            </w:r>
            <w:r w:rsidR="00A93F9D" w:rsidRPr="00231EB4">
              <w:rPr>
                <w:rFonts w:ascii="Arial" w:eastAsiaTheme="majorEastAsia" w:hAnsi="Arial" w:cs="Arial"/>
                <w:sz w:val="20"/>
                <w:szCs w:val="19"/>
              </w:rPr>
              <w:t>B)</w:t>
            </w:r>
          </w:p>
        </w:tc>
        <w:tc>
          <w:tcPr>
            <w:tcW w:w="2787" w:type="pct"/>
            <w:shd w:val="clear" w:color="auto" w:fill="auto"/>
          </w:tcPr>
          <w:p w:rsidR="00A93F9D" w:rsidRPr="00231EB4" w:rsidRDefault="00A93F9D" w:rsidP="00F572FE">
            <w:pPr>
              <w:spacing w:before="120" w:after="120"/>
              <w:ind w:left="124"/>
              <w:rPr>
                <w:rFonts w:cs="Arial"/>
                <w:sz w:val="20"/>
                <w:szCs w:val="19"/>
                <w:lang w:eastAsia="fr-CA"/>
              </w:rPr>
            </w:pPr>
            <w:r w:rsidRPr="00231EB4">
              <w:rPr>
                <w:rFonts w:cs="Arial"/>
                <w:sz w:val="20"/>
                <w:szCs w:val="20"/>
              </w:rPr>
              <w:t>Do stakeholders agree with our assessment of whether this REZ model is consistent with the options discussed for making the ISP actionable? What other considerations should be taken into account?</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5000" w:type="pct"/>
            <w:gridSpan w:val="3"/>
            <w:shd w:val="clear" w:color="auto" w:fill="EEECE1" w:themeFill="background2"/>
          </w:tcPr>
          <w:p w:rsidR="00A93F9D" w:rsidRPr="00231EB4" w:rsidRDefault="00A93F9D" w:rsidP="00F572FE">
            <w:pPr>
              <w:pStyle w:val="TableBullet1"/>
              <w:keepNext/>
              <w:numPr>
                <w:ilvl w:val="0"/>
                <w:numId w:val="0"/>
              </w:numPr>
              <w:tabs>
                <w:tab w:val="left" w:pos="720"/>
              </w:tabs>
              <w:spacing w:before="120" w:after="120"/>
              <w:ind w:left="129"/>
              <w:rPr>
                <w:b/>
                <w:sz w:val="20"/>
                <w:szCs w:val="19"/>
                <w:lang w:eastAsia="fr-CA"/>
              </w:rPr>
            </w:pPr>
            <w:r w:rsidRPr="00231EB4">
              <w:rPr>
                <w:b/>
                <w:sz w:val="20"/>
                <w:szCs w:val="19"/>
                <w:lang w:eastAsia="fr-CA"/>
              </w:rPr>
              <w:t>Question 19: REZs and access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auto"/>
          </w:tcPr>
          <w:p w:rsidR="00A93F9D" w:rsidRPr="00231EB4" w:rsidRDefault="00A93F9D" w:rsidP="00F572FE">
            <w:pPr>
              <w:pStyle w:val="ListParagraph"/>
              <w:spacing w:before="120" w:after="120"/>
              <w:ind w:left="75"/>
              <w:contextualSpacing w:val="0"/>
              <w:rPr>
                <w:rFonts w:ascii="Arial" w:eastAsiaTheme="majorEastAsia" w:hAnsi="Arial" w:cs="Arial"/>
                <w:sz w:val="20"/>
                <w:szCs w:val="19"/>
              </w:rPr>
            </w:pPr>
          </w:p>
        </w:tc>
        <w:tc>
          <w:tcPr>
            <w:tcW w:w="2787" w:type="pct"/>
            <w:shd w:val="clear" w:color="auto" w:fill="auto"/>
          </w:tcPr>
          <w:p w:rsidR="00A93F9D" w:rsidRPr="00231EB4" w:rsidRDefault="00A93F9D" w:rsidP="00F572FE">
            <w:pPr>
              <w:spacing w:before="120" w:after="120"/>
              <w:ind w:left="124"/>
              <w:rPr>
                <w:rFonts w:cs="Arial"/>
                <w:sz w:val="20"/>
                <w:szCs w:val="20"/>
              </w:rPr>
            </w:pPr>
            <w:r w:rsidRPr="00231EB4">
              <w:rPr>
                <w:rFonts w:cs="Arial"/>
                <w:sz w:val="20"/>
                <w:szCs w:val="20"/>
              </w:rPr>
              <w:t>Do stakeholders agree with our conclusion about the types of REZ models that are feasible under the current transmission access framework?</w:t>
            </w:r>
          </w:p>
        </w:tc>
        <w:tc>
          <w:tcPr>
            <w:tcW w:w="1977" w:type="pct"/>
            <w:shd w:val="clear" w:color="auto" w:fill="auto"/>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rPr>
          <w:trHeight w:val="454"/>
        </w:trPr>
        <w:tc>
          <w:tcPr>
            <w:tcW w:w="5000" w:type="pct"/>
            <w:gridSpan w:val="3"/>
            <w:shd w:val="clear" w:color="auto" w:fill="404040"/>
            <w:vAlign w:val="center"/>
          </w:tcPr>
          <w:p w:rsidR="00A93F9D" w:rsidRPr="00231EB4" w:rsidRDefault="00A93F9D" w:rsidP="00F572FE">
            <w:pPr>
              <w:pStyle w:val="TableBullet1"/>
              <w:keepNext/>
              <w:numPr>
                <w:ilvl w:val="0"/>
                <w:numId w:val="0"/>
              </w:numPr>
              <w:tabs>
                <w:tab w:val="left" w:pos="720"/>
              </w:tabs>
              <w:spacing w:before="20" w:after="20"/>
              <w:ind w:left="129"/>
              <w:rPr>
                <w:b/>
                <w:color w:val="FFFFFF" w:themeColor="background1"/>
                <w:sz w:val="20"/>
                <w:szCs w:val="19"/>
                <w:lang w:eastAsia="fr-CA"/>
              </w:rPr>
            </w:pPr>
            <w:r w:rsidRPr="00231EB4">
              <w:rPr>
                <w:rFonts w:eastAsiaTheme="majorEastAsia"/>
                <w:b/>
                <w:color w:val="FFFFFF" w:themeColor="background1"/>
                <w:sz w:val="20"/>
                <w:szCs w:val="19"/>
              </w:rPr>
              <w:t>Chapter 7 – Congestion and access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5000" w:type="pct"/>
            <w:gridSpan w:val="3"/>
          </w:tcPr>
          <w:p w:rsidR="00A93F9D" w:rsidRPr="00231EB4" w:rsidRDefault="00A93F9D" w:rsidP="00F572FE">
            <w:pPr>
              <w:pStyle w:val="TableBullet1"/>
              <w:keepNext/>
              <w:numPr>
                <w:ilvl w:val="0"/>
                <w:numId w:val="0"/>
              </w:numPr>
              <w:tabs>
                <w:tab w:val="left" w:pos="720"/>
              </w:tabs>
              <w:spacing w:before="120" w:after="120"/>
              <w:ind w:left="129"/>
              <w:rPr>
                <w:b/>
                <w:sz w:val="20"/>
                <w:szCs w:val="20"/>
                <w:lang w:eastAsia="fr-CA"/>
              </w:rPr>
            </w:pPr>
            <w:r w:rsidRPr="00231EB4">
              <w:rPr>
                <w:b/>
                <w:sz w:val="20"/>
                <w:szCs w:val="20"/>
              </w:rPr>
              <w:t>Question 20: Conclusion on need to consider access issues</w:t>
            </w:r>
          </w:p>
        </w:tc>
      </w:tr>
      <w:tr w:rsidR="00A93F9D" w:rsidRPr="00231EB4" w:rsidTr="00F572FE">
        <w:tc>
          <w:tcPr>
            <w:tcW w:w="236" w:type="pct"/>
          </w:tcPr>
          <w:p w:rsidR="00A93F9D" w:rsidRPr="00231EB4" w:rsidRDefault="00A93F9D" w:rsidP="00F572FE">
            <w:pPr>
              <w:pStyle w:val="ListParagraph"/>
              <w:spacing w:before="120" w:after="120"/>
              <w:ind w:left="75"/>
              <w:contextualSpacing w:val="0"/>
              <w:rPr>
                <w:rFonts w:ascii="Arial" w:eastAsiaTheme="majorEastAsia" w:hAnsi="Arial" w:cs="Arial"/>
                <w:sz w:val="20"/>
                <w:szCs w:val="19"/>
              </w:rPr>
            </w:pPr>
          </w:p>
        </w:tc>
        <w:tc>
          <w:tcPr>
            <w:tcW w:w="2787" w:type="pct"/>
          </w:tcPr>
          <w:p w:rsidR="00A93F9D" w:rsidRPr="00231EB4" w:rsidRDefault="00A93F9D" w:rsidP="00F572FE">
            <w:pPr>
              <w:spacing w:before="120" w:after="120"/>
              <w:ind w:left="124"/>
              <w:rPr>
                <w:rFonts w:cs="Arial"/>
                <w:sz w:val="20"/>
                <w:szCs w:val="20"/>
                <w:lang w:eastAsia="fr-CA"/>
              </w:rPr>
            </w:pPr>
            <w:r w:rsidRPr="00231EB4">
              <w:rPr>
                <w:rFonts w:cs="Arial"/>
                <w:sz w:val="20"/>
                <w:szCs w:val="20"/>
              </w:rPr>
              <w:t>Do stakeholders agree with the Commission’s conclusion in this Chapter that access and congestion management issues are likely to need to be addressed in the near term, once the role of the ISP has been addressed?</w:t>
            </w:r>
          </w:p>
        </w:tc>
        <w:tc>
          <w:tcPr>
            <w:tcW w:w="1977" w:type="pct"/>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rsidR="00A93F9D" w:rsidRPr="00231EB4" w:rsidRDefault="00A93F9D" w:rsidP="00F572FE">
            <w:pPr>
              <w:pStyle w:val="TableBullet1"/>
              <w:keepNext/>
              <w:numPr>
                <w:ilvl w:val="0"/>
                <w:numId w:val="0"/>
              </w:numPr>
              <w:tabs>
                <w:tab w:val="left" w:pos="720"/>
              </w:tabs>
              <w:spacing w:before="20" w:after="20"/>
              <w:ind w:left="129"/>
              <w:rPr>
                <w:b/>
                <w:color w:val="FFFFFF" w:themeColor="background1"/>
                <w:sz w:val="20"/>
                <w:szCs w:val="19"/>
                <w:lang w:eastAsia="fr-CA"/>
              </w:rPr>
            </w:pPr>
            <w:r w:rsidRPr="00231EB4">
              <w:rPr>
                <w:rFonts w:eastAsiaTheme="majorEastAsia"/>
                <w:b/>
                <w:color w:val="FFFFFF" w:themeColor="background1"/>
                <w:sz w:val="20"/>
                <w:szCs w:val="19"/>
              </w:rPr>
              <w:t>Chapter 8 – Treatment of storage</w:t>
            </w:r>
          </w:p>
        </w:tc>
      </w:tr>
      <w:tr w:rsidR="00A93F9D" w:rsidRPr="00231EB4" w:rsidTr="00F572FE">
        <w:tc>
          <w:tcPr>
            <w:tcW w:w="5000" w:type="pct"/>
            <w:gridSpan w:val="3"/>
            <w:shd w:val="clear" w:color="auto" w:fill="EEECE1" w:themeFill="background2"/>
          </w:tcPr>
          <w:p w:rsidR="00A93F9D" w:rsidRPr="00231EB4" w:rsidRDefault="00A93F9D" w:rsidP="00F572FE">
            <w:pPr>
              <w:pStyle w:val="TableBullet1"/>
              <w:keepNext/>
              <w:numPr>
                <w:ilvl w:val="0"/>
                <w:numId w:val="0"/>
              </w:numPr>
              <w:tabs>
                <w:tab w:val="left" w:pos="720"/>
              </w:tabs>
              <w:spacing w:before="120" w:after="120"/>
              <w:ind w:left="129"/>
              <w:rPr>
                <w:b/>
                <w:sz w:val="20"/>
                <w:szCs w:val="19"/>
                <w:lang w:eastAsia="fr-CA"/>
              </w:rPr>
            </w:pPr>
            <w:r w:rsidRPr="00231EB4">
              <w:rPr>
                <w:b/>
                <w:sz w:val="20"/>
                <w:szCs w:val="19"/>
                <w:lang w:eastAsia="fr-CA"/>
              </w:rPr>
              <w:t>Question 21: Storage and TUOS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tcPr>
          <w:p w:rsidR="00A93F9D" w:rsidRPr="00231EB4" w:rsidRDefault="00A93F9D" w:rsidP="00F572FE">
            <w:pPr>
              <w:spacing w:before="120" w:after="120"/>
              <w:rPr>
                <w:rFonts w:eastAsiaTheme="majorEastAsia" w:cs="Arial"/>
                <w:sz w:val="20"/>
                <w:szCs w:val="19"/>
              </w:rPr>
            </w:pPr>
          </w:p>
        </w:tc>
        <w:tc>
          <w:tcPr>
            <w:tcW w:w="2787" w:type="pct"/>
            <w:shd w:val="clear" w:color="auto" w:fill="FFFFFF" w:themeFill="background1"/>
          </w:tcPr>
          <w:p w:rsidR="00A93F9D" w:rsidRPr="00231EB4" w:rsidRDefault="00A93F9D" w:rsidP="00F572FE">
            <w:pPr>
              <w:spacing w:before="120" w:after="120"/>
              <w:ind w:left="124"/>
              <w:rPr>
                <w:rFonts w:cs="Arial"/>
                <w:sz w:val="20"/>
                <w:szCs w:val="20"/>
                <w:lang w:eastAsia="fr-CA"/>
              </w:rPr>
            </w:pPr>
            <w:r w:rsidRPr="00231EB4">
              <w:rPr>
                <w:rFonts w:cs="Arial"/>
                <w:sz w:val="20"/>
                <w:szCs w:val="20"/>
              </w:rPr>
              <w:t>Do stakeholders agree with the way the Commission has framed the issue of whether or not storage should pay transmission use of system charges?</w:t>
            </w:r>
          </w:p>
        </w:tc>
        <w:tc>
          <w:tcPr>
            <w:tcW w:w="1977" w:type="pct"/>
            <w:shd w:val="clear" w:color="auto" w:fill="FFFFFF" w:themeFill="background1"/>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5000" w:type="pct"/>
            <w:gridSpan w:val="3"/>
            <w:shd w:val="clear" w:color="auto" w:fill="EEECE1" w:themeFill="background2"/>
          </w:tcPr>
          <w:p w:rsidR="00A93F9D" w:rsidRPr="00231EB4" w:rsidRDefault="00A93F9D" w:rsidP="00F572FE">
            <w:pPr>
              <w:pStyle w:val="TableBullet1"/>
              <w:keepNext/>
              <w:numPr>
                <w:ilvl w:val="0"/>
                <w:numId w:val="0"/>
              </w:numPr>
              <w:tabs>
                <w:tab w:val="left" w:pos="720"/>
              </w:tabs>
              <w:spacing w:before="120" w:after="120"/>
              <w:ind w:left="129"/>
              <w:rPr>
                <w:b/>
                <w:sz w:val="20"/>
                <w:szCs w:val="20"/>
                <w:lang w:eastAsia="fr-CA"/>
              </w:rPr>
            </w:pPr>
            <w:r w:rsidRPr="00231EB4">
              <w:rPr>
                <w:b/>
                <w:sz w:val="20"/>
                <w:szCs w:val="19"/>
                <w:lang w:eastAsia="fr-CA"/>
              </w:rPr>
              <w:t>Question 22: Storage and TUOS - current arrangements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tcPr>
          <w:p w:rsidR="00A93F9D" w:rsidRPr="00231EB4" w:rsidRDefault="00A93F9D" w:rsidP="00F572FE">
            <w:pPr>
              <w:spacing w:before="120" w:after="120"/>
              <w:rPr>
                <w:rFonts w:eastAsiaTheme="majorEastAsia" w:cs="Arial"/>
                <w:sz w:val="20"/>
                <w:szCs w:val="19"/>
              </w:rPr>
            </w:pPr>
          </w:p>
        </w:tc>
        <w:tc>
          <w:tcPr>
            <w:tcW w:w="2787" w:type="pct"/>
            <w:shd w:val="clear" w:color="auto" w:fill="FFFFFF" w:themeFill="background1"/>
          </w:tcPr>
          <w:p w:rsidR="00A93F9D" w:rsidRPr="00231EB4" w:rsidRDefault="00A93F9D" w:rsidP="00F572FE">
            <w:pPr>
              <w:spacing w:before="120" w:after="120"/>
              <w:ind w:left="124"/>
              <w:rPr>
                <w:rFonts w:cs="Arial"/>
                <w:sz w:val="20"/>
                <w:szCs w:val="20"/>
                <w:lang w:eastAsia="fr-CA"/>
              </w:rPr>
            </w:pPr>
            <w:r w:rsidRPr="00231EB4">
              <w:rPr>
                <w:rFonts w:cs="Arial"/>
                <w:sz w:val="20"/>
                <w:szCs w:val="20"/>
              </w:rPr>
              <w:t>Do stakeholders have any comments on the Commission’s initial views on storage and transmission charges? Are there any other arguments that are not discussed?</w:t>
            </w:r>
          </w:p>
        </w:tc>
        <w:tc>
          <w:tcPr>
            <w:tcW w:w="1977" w:type="pct"/>
            <w:shd w:val="clear" w:color="auto" w:fill="FFFFFF" w:themeFill="background1"/>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5000" w:type="pct"/>
            <w:gridSpan w:val="3"/>
            <w:shd w:val="clear" w:color="auto" w:fill="EEECE1" w:themeFill="background2"/>
          </w:tcPr>
          <w:p w:rsidR="00A93F9D" w:rsidRPr="00231EB4" w:rsidRDefault="00A93F9D" w:rsidP="00F572FE">
            <w:pPr>
              <w:pStyle w:val="TableBullet1"/>
              <w:keepNext/>
              <w:numPr>
                <w:ilvl w:val="0"/>
                <w:numId w:val="0"/>
              </w:numPr>
              <w:tabs>
                <w:tab w:val="left" w:pos="720"/>
              </w:tabs>
              <w:spacing w:before="120" w:after="120"/>
              <w:ind w:left="129"/>
              <w:rPr>
                <w:b/>
                <w:sz w:val="20"/>
                <w:szCs w:val="20"/>
                <w:lang w:eastAsia="fr-CA"/>
              </w:rPr>
            </w:pPr>
            <w:r w:rsidRPr="00231EB4">
              <w:rPr>
                <w:b/>
                <w:sz w:val="20"/>
                <w:szCs w:val="19"/>
                <w:lang w:eastAsia="fr-CA"/>
              </w:rPr>
              <w:t>Question 23: Storage and TUOS - considering changing existing arrangements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tcPr>
          <w:p w:rsidR="00A93F9D" w:rsidRPr="00231EB4" w:rsidRDefault="00A93F9D" w:rsidP="00F572FE">
            <w:pPr>
              <w:spacing w:before="120" w:after="120"/>
              <w:rPr>
                <w:rFonts w:eastAsiaTheme="majorEastAsia" w:cs="Arial"/>
                <w:sz w:val="20"/>
                <w:szCs w:val="19"/>
              </w:rPr>
            </w:pPr>
          </w:p>
        </w:tc>
        <w:tc>
          <w:tcPr>
            <w:tcW w:w="2787" w:type="pct"/>
            <w:shd w:val="clear" w:color="auto" w:fill="FFFFFF" w:themeFill="background1"/>
          </w:tcPr>
          <w:p w:rsidR="00A93F9D" w:rsidRPr="00231EB4" w:rsidRDefault="00A93F9D" w:rsidP="00F572FE">
            <w:pPr>
              <w:spacing w:before="120" w:after="120"/>
              <w:ind w:left="124"/>
              <w:rPr>
                <w:rFonts w:cs="Arial"/>
                <w:sz w:val="20"/>
                <w:szCs w:val="20"/>
              </w:rPr>
            </w:pPr>
            <w:r w:rsidRPr="00231EB4">
              <w:rPr>
                <w:rFonts w:cs="Arial"/>
                <w:sz w:val="20"/>
                <w:szCs w:val="20"/>
              </w:rPr>
              <w:t>Are there any matters the Commission hasn’t discussed that should be addressed if a change to the existing arrangements for transmission charging for storage is considered?</w:t>
            </w:r>
          </w:p>
        </w:tc>
        <w:tc>
          <w:tcPr>
            <w:tcW w:w="1977" w:type="pct"/>
            <w:shd w:val="clear" w:color="auto" w:fill="FFFFFF" w:themeFill="background1"/>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r w:rsidR="00A93F9D" w:rsidRPr="00231EB4" w:rsidTr="00F572FE">
        <w:tc>
          <w:tcPr>
            <w:tcW w:w="5000" w:type="pct"/>
            <w:gridSpan w:val="3"/>
            <w:shd w:val="clear" w:color="auto" w:fill="EEECE1" w:themeFill="background2"/>
          </w:tcPr>
          <w:p w:rsidR="00A93F9D" w:rsidRPr="00231EB4" w:rsidRDefault="00A93F9D" w:rsidP="00F572FE">
            <w:pPr>
              <w:pStyle w:val="TableBullet1"/>
              <w:keepNext/>
              <w:numPr>
                <w:ilvl w:val="0"/>
                <w:numId w:val="0"/>
              </w:numPr>
              <w:tabs>
                <w:tab w:val="left" w:pos="720"/>
              </w:tabs>
              <w:spacing w:before="120" w:after="120"/>
              <w:ind w:left="129"/>
              <w:rPr>
                <w:b/>
                <w:sz w:val="20"/>
                <w:szCs w:val="20"/>
                <w:lang w:eastAsia="fr-CA"/>
              </w:rPr>
            </w:pPr>
            <w:r w:rsidRPr="00231EB4">
              <w:rPr>
                <w:b/>
                <w:sz w:val="20"/>
                <w:szCs w:val="19"/>
                <w:lang w:eastAsia="fr-CA"/>
              </w:rPr>
              <w:t>Question 24: Storage and TUOS - additional considerations</w:t>
            </w:r>
          </w:p>
        </w:tc>
      </w:tr>
      <w:tr w:rsidR="00A93F9D" w:rsidRPr="00231EB4" w:rsidTr="00F572FE">
        <w:trPr>
          <w:cnfStyle w:val="000000010000" w:firstRow="0" w:lastRow="0" w:firstColumn="0" w:lastColumn="0" w:oddVBand="0" w:evenVBand="0" w:oddHBand="0" w:evenHBand="1" w:firstRowFirstColumn="0" w:firstRowLastColumn="0" w:lastRowFirstColumn="0" w:lastRowLastColumn="0"/>
        </w:trPr>
        <w:tc>
          <w:tcPr>
            <w:tcW w:w="236" w:type="pct"/>
            <w:shd w:val="clear" w:color="auto" w:fill="FFFFFF" w:themeFill="background1"/>
          </w:tcPr>
          <w:p w:rsidR="00A93F9D" w:rsidRPr="00231EB4" w:rsidRDefault="00A93F9D" w:rsidP="00F572FE">
            <w:pPr>
              <w:spacing w:before="120" w:after="120"/>
              <w:rPr>
                <w:rFonts w:eastAsiaTheme="majorEastAsia" w:cs="Arial"/>
                <w:sz w:val="20"/>
                <w:szCs w:val="19"/>
              </w:rPr>
            </w:pPr>
          </w:p>
        </w:tc>
        <w:tc>
          <w:tcPr>
            <w:tcW w:w="2787" w:type="pct"/>
            <w:shd w:val="clear" w:color="auto" w:fill="FFFFFF" w:themeFill="background1"/>
          </w:tcPr>
          <w:p w:rsidR="00A93F9D" w:rsidRPr="00231EB4" w:rsidRDefault="00A93F9D" w:rsidP="00F572FE">
            <w:pPr>
              <w:spacing w:before="120" w:after="120"/>
              <w:ind w:left="124"/>
              <w:rPr>
                <w:rFonts w:cs="Arial"/>
                <w:sz w:val="20"/>
                <w:szCs w:val="20"/>
              </w:rPr>
            </w:pPr>
            <w:r w:rsidRPr="00231EB4">
              <w:rPr>
                <w:rFonts w:cs="Arial"/>
                <w:sz w:val="20"/>
                <w:szCs w:val="20"/>
              </w:rPr>
              <w:t>When considering the approach to the recovery of transmission charges, are there any additional factors worthy of consideration that the Commission has not listed?</w:t>
            </w:r>
          </w:p>
        </w:tc>
        <w:tc>
          <w:tcPr>
            <w:tcW w:w="1977" w:type="pct"/>
            <w:shd w:val="clear" w:color="auto" w:fill="FFFFFF" w:themeFill="background1"/>
          </w:tcPr>
          <w:p w:rsidR="00A93F9D" w:rsidRPr="00231EB4" w:rsidRDefault="00A93F9D" w:rsidP="00F572FE">
            <w:pPr>
              <w:pStyle w:val="TableBullet1"/>
              <w:keepNext/>
              <w:numPr>
                <w:ilvl w:val="0"/>
                <w:numId w:val="0"/>
              </w:numPr>
              <w:tabs>
                <w:tab w:val="left" w:pos="720"/>
              </w:tabs>
              <w:spacing w:before="120" w:after="120"/>
              <w:ind w:left="129"/>
              <w:rPr>
                <w:sz w:val="20"/>
                <w:szCs w:val="19"/>
                <w:lang w:eastAsia="fr-CA"/>
              </w:rPr>
            </w:pPr>
          </w:p>
        </w:tc>
      </w:tr>
    </w:tbl>
    <w:p w:rsidR="006E5BEA" w:rsidRPr="00231EB4" w:rsidRDefault="006E5BEA">
      <w:pPr>
        <w:rPr>
          <w:rFonts w:cs="Arial"/>
        </w:rPr>
      </w:pPr>
    </w:p>
    <w:sectPr w:rsidR="006E5BEA" w:rsidRPr="00231EB4" w:rsidSect="00A93F9D">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FE" w:rsidRDefault="00F572FE" w:rsidP="00C86DD3">
      <w:pPr>
        <w:spacing w:line="240" w:lineRule="auto"/>
      </w:pPr>
      <w:r>
        <w:separator/>
      </w:r>
    </w:p>
  </w:endnote>
  <w:endnote w:type="continuationSeparator" w:id="0">
    <w:p w:rsidR="00F572FE" w:rsidRDefault="00F572FE" w:rsidP="00C86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300168"/>
      <w:docPartObj>
        <w:docPartGallery w:val="Page Numbers (Bottom of Page)"/>
        <w:docPartUnique/>
      </w:docPartObj>
    </w:sdtPr>
    <w:sdtContent>
      <w:sdt>
        <w:sdtPr>
          <w:id w:val="860082579"/>
          <w:docPartObj>
            <w:docPartGallery w:val="Page Numbers (Top of Page)"/>
            <w:docPartUnique/>
          </w:docPartObj>
        </w:sdtPr>
        <w:sdtContent>
          <w:p w:rsidR="00F97D5E" w:rsidRDefault="00F97D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rsidR="00F97D5E" w:rsidRDefault="00F97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FE" w:rsidRDefault="00F572FE" w:rsidP="00C86DD3">
      <w:pPr>
        <w:spacing w:line="240" w:lineRule="auto"/>
      </w:pPr>
      <w:r>
        <w:separator/>
      </w:r>
    </w:p>
  </w:footnote>
  <w:footnote w:type="continuationSeparator" w:id="0">
    <w:p w:rsidR="00F572FE" w:rsidRDefault="00F572FE" w:rsidP="00C86D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FE" w:rsidRDefault="00F572FE">
    <w:pPr>
      <w:pStyle w:val="Header"/>
    </w:pPr>
    <w:r>
      <w:rPr>
        <w:noProof/>
      </w:rPr>
      <w:drawing>
        <wp:anchor distT="0" distB="0" distL="114935" distR="114935" simplePos="0" relativeHeight="251659264" behindDoc="0" locked="0" layoutInCell="1" allowOverlap="0" wp14:anchorId="1227F397" wp14:editId="21B8B496">
          <wp:simplePos x="0" y="0"/>
          <wp:positionH relativeFrom="column">
            <wp:posOffset>7972425</wp:posOffset>
          </wp:positionH>
          <wp:positionV relativeFrom="paragraph">
            <wp:posOffset>-398780</wp:posOffset>
          </wp:positionV>
          <wp:extent cx="946467" cy="9429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1F497D" w:themeColor="text2"/>
        <w:sz w:val="16"/>
      </w:rPr>
    </w:lvl>
    <w:lvl w:ilvl="4">
      <w:start w:val="1"/>
      <w:numFmt w:val="none"/>
      <w:lvlText w:val=""/>
      <w:lvlJc w:val="left"/>
      <w:pPr>
        <w:tabs>
          <w:tab w:val="num" w:pos="1248"/>
        </w:tabs>
        <w:ind w:left="1135" w:hanging="227"/>
      </w:pPr>
      <w:rPr>
        <w:rFonts w:hint="default"/>
        <w:color w:val="1F497D"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1">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num w:numId="1">
    <w:abstractNumId w:val="0"/>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9D"/>
    <w:rsid w:val="00231EB4"/>
    <w:rsid w:val="0037783A"/>
    <w:rsid w:val="006E5BEA"/>
    <w:rsid w:val="008B61FD"/>
    <w:rsid w:val="00A93F9D"/>
    <w:rsid w:val="00C86DD3"/>
    <w:rsid w:val="00D91E62"/>
    <w:rsid w:val="00F572FE"/>
    <w:rsid w:val="00F9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9D"/>
    <w:pPr>
      <w:spacing w:after="0" w:line="264" w:lineRule="auto"/>
    </w:pPr>
    <w:rPr>
      <w:rFonts w:ascii="Arial" w:eastAsia="Times New Roman" w:hAnsi="Arial" w:cs="Times New Roman"/>
      <w:lang w:eastAsia="en-AU"/>
    </w:rPr>
  </w:style>
  <w:style w:type="paragraph" w:styleId="Heading9">
    <w:name w:val="heading 9"/>
    <w:aliases w:val="Appendix Heading 1"/>
    <w:basedOn w:val="Normal"/>
    <w:next w:val="BodyText"/>
    <w:link w:val="Heading9Char"/>
    <w:uiPriority w:val="4"/>
    <w:rsid w:val="00C86DD3"/>
    <w:pPr>
      <w:keepNext/>
      <w:keepLines/>
      <w:pageBreakBefore/>
      <w:numPr>
        <w:numId w:val="2"/>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93F9D"/>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93F9D"/>
    <w:rPr>
      <w:rFonts w:ascii="Arial" w:eastAsia="Times New Roman" w:hAnsi="Arial" w:cs="Times New Roman"/>
      <w:lang w:eastAsia="en-AU"/>
    </w:rPr>
  </w:style>
  <w:style w:type="paragraph" w:styleId="ListNumber">
    <w:name w:val="List Number"/>
    <w:basedOn w:val="BodyText"/>
    <w:uiPriority w:val="99"/>
    <w:unhideWhenUsed/>
    <w:qFormat/>
    <w:rsid w:val="00A93F9D"/>
    <w:pPr>
      <w:tabs>
        <w:tab w:val="clear" w:pos="2268"/>
        <w:tab w:val="clear" w:pos="4536"/>
        <w:tab w:val="clear" w:pos="6804"/>
        <w:tab w:val="clear" w:pos="9638"/>
      </w:tabs>
      <w:spacing w:before="120"/>
    </w:pPr>
  </w:style>
  <w:style w:type="table" w:styleId="TableGrid">
    <w:name w:val="Table Grid"/>
    <w:basedOn w:val="TableNormal"/>
    <w:uiPriority w:val="59"/>
    <w:rsid w:val="00A93F9D"/>
    <w:pPr>
      <w:spacing w:before="60" w:after="60" w:line="264" w:lineRule="auto"/>
      <w:ind w:left="85" w:right="85"/>
    </w:pPr>
    <w:rPr>
      <w:rFonts w:eastAsia="Times New Roman" w:cs="Times New Roman"/>
      <w:sz w:val="18"/>
      <w:lang w:eastAsia="en-AU"/>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1F497D" w:themeFill="text2"/>
      </w:tcPr>
    </w:tblStylePr>
    <w:tblStylePr w:type="band2Horz">
      <w:tblPr/>
      <w:tcPr>
        <w:shd w:val="clear" w:color="auto" w:fill="EEECE1" w:themeFill="background2"/>
      </w:tcPr>
    </w:tblStylePr>
  </w:style>
  <w:style w:type="paragraph" w:customStyle="1" w:styleId="TableHeading">
    <w:name w:val="Table Heading"/>
    <w:basedOn w:val="Normal"/>
    <w:qFormat/>
    <w:rsid w:val="00A93F9D"/>
    <w:pPr>
      <w:spacing w:before="60" w:after="60"/>
      <w:ind w:left="85" w:right="85"/>
    </w:pPr>
    <w:rPr>
      <w:rFonts w:cs="Arial"/>
      <w:color w:val="FFFFFF"/>
      <w:sz w:val="18"/>
    </w:rPr>
  </w:style>
  <w:style w:type="paragraph" w:customStyle="1" w:styleId="TableBullet1">
    <w:name w:val="Table Bullet 1"/>
    <w:basedOn w:val="Normal"/>
    <w:qFormat/>
    <w:rsid w:val="00A93F9D"/>
    <w:pPr>
      <w:numPr>
        <w:numId w:val="1"/>
      </w:numPr>
      <w:spacing w:before="60" w:after="60"/>
      <w:ind w:right="85"/>
    </w:pPr>
    <w:rPr>
      <w:rFonts w:cs="Arial"/>
      <w:sz w:val="18"/>
    </w:rPr>
  </w:style>
  <w:style w:type="paragraph" w:customStyle="1" w:styleId="TableBullet2">
    <w:name w:val="Table Bullet 2"/>
    <w:basedOn w:val="TableBullet1"/>
    <w:qFormat/>
    <w:rsid w:val="00A93F9D"/>
    <w:pPr>
      <w:numPr>
        <w:ilvl w:val="1"/>
      </w:numPr>
    </w:pPr>
  </w:style>
  <w:style w:type="paragraph" w:customStyle="1" w:styleId="TableBullet3">
    <w:name w:val="Table Bullet 3"/>
    <w:basedOn w:val="TableBullet2"/>
    <w:qFormat/>
    <w:rsid w:val="00A93F9D"/>
    <w:pPr>
      <w:numPr>
        <w:ilvl w:val="2"/>
      </w:numPr>
    </w:p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A93F9D"/>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A93F9D"/>
    <w:pPr>
      <w:spacing w:after="160" w:line="256" w:lineRule="auto"/>
      <w:ind w:left="720"/>
      <w:contextualSpacing/>
    </w:pPr>
    <w:rPr>
      <w:rFonts w:asciiTheme="minorHAnsi" w:eastAsiaTheme="minorHAnsi" w:hAnsiTheme="minorHAnsi" w:cstheme="minorBidi"/>
      <w:lang w:eastAsia="en-US"/>
    </w:rPr>
  </w:style>
  <w:style w:type="character" w:customStyle="1" w:styleId="Heading9Char">
    <w:name w:val="Heading 9 Char"/>
    <w:aliases w:val="Appendix Heading 1 Char"/>
    <w:basedOn w:val="DefaultParagraphFont"/>
    <w:link w:val="Heading9"/>
    <w:uiPriority w:val="4"/>
    <w:rsid w:val="00C86DD3"/>
    <w:rPr>
      <w:rFonts w:asciiTheme="majorHAnsi" w:eastAsiaTheme="minorEastAsia" w:hAnsiTheme="majorHAnsi" w:cs="Arial"/>
      <w:b/>
      <w:color w:val="007BC1"/>
      <w:sz w:val="32"/>
    </w:rPr>
  </w:style>
  <w:style w:type="paragraph" w:customStyle="1" w:styleId="AppendixHeading2">
    <w:name w:val="Appendix Heading 2"/>
    <w:basedOn w:val="Normal"/>
    <w:next w:val="BodyText"/>
    <w:uiPriority w:val="4"/>
    <w:rsid w:val="00C86DD3"/>
    <w:pPr>
      <w:keepNext/>
      <w:numPr>
        <w:ilvl w:val="1"/>
        <w:numId w:val="2"/>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C86DD3"/>
    <w:pPr>
      <w:keepNext/>
      <w:numPr>
        <w:ilvl w:val="2"/>
        <w:numId w:val="2"/>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paragraph" w:customStyle="1" w:styleId="AppendixHeading4">
    <w:name w:val="Appendix Heading 4"/>
    <w:basedOn w:val="Normal"/>
    <w:next w:val="BodyText"/>
    <w:uiPriority w:val="4"/>
    <w:rsid w:val="00C86DD3"/>
    <w:pPr>
      <w:keepNext/>
      <w:numPr>
        <w:ilvl w:val="3"/>
        <w:numId w:val="2"/>
      </w:numPr>
      <w:spacing w:before="360" w:after="240"/>
    </w:pPr>
    <w:rPr>
      <w:rFonts w:asciiTheme="majorHAnsi" w:eastAsiaTheme="minorEastAsia" w:hAnsiTheme="majorHAnsi"/>
      <w:b/>
      <w:i/>
      <w:color w:val="007BC1"/>
      <w:lang w:eastAsia="en-US"/>
    </w:rPr>
  </w:style>
  <w:style w:type="paragraph" w:styleId="Header">
    <w:name w:val="header"/>
    <w:basedOn w:val="Normal"/>
    <w:link w:val="HeaderChar"/>
    <w:uiPriority w:val="99"/>
    <w:unhideWhenUsed/>
    <w:rsid w:val="00C86DD3"/>
    <w:pPr>
      <w:tabs>
        <w:tab w:val="center" w:pos="4513"/>
        <w:tab w:val="right" w:pos="9026"/>
      </w:tabs>
      <w:spacing w:line="240" w:lineRule="auto"/>
    </w:pPr>
  </w:style>
  <w:style w:type="character" w:customStyle="1" w:styleId="HeaderChar">
    <w:name w:val="Header Char"/>
    <w:basedOn w:val="DefaultParagraphFont"/>
    <w:link w:val="Header"/>
    <w:uiPriority w:val="99"/>
    <w:rsid w:val="00C86DD3"/>
    <w:rPr>
      <w:rFonts w:ascii="Arial" w:eastAsia="Times New Roman" w:hAnsi="Arial" w:cs="Times New Roman"/>
      <w:lang w:eastAsia="en-AU"/>
    </w:rPr>
  </w:style>
  <w:style w:type="paragraph" w:styleId="Footer">
    <w:name w:val="footer"/>
    <w:basedOn w:val="Normal"/>
    <w:link w:val="FooterChar"/>
    <w:uiPriority w:val="99"/>
    <w:unhideWhenUsed/>
    <w:rsid w:val="00C86DD3"/>
    <w:pPr>
      <w:tabs>
        <w:tab w:val="center" w:pos="4513"/>
        <w:tab w:val="right" w:pos="9026"/>
      </w:tabs>
      <w:spacing w:line="240" w:lineRule="auto"/>
    </w:pPr>
  </w:style>
  <w:style w:type="character" w:customStyle="1" w:styleId="FooterChar">
    <w:name w:val="Footer Char"/>
    <w:basedOn w:val="DefaultParagraphFont"/>
    <w:link w:val="Footer"/>
    <w:uiPriority w:val="99"/>
    <w:rsid w:val="00C86DD3"/>
    <w:rPr>
      <w:rFonts w:ascii="Arial" w:eastAsia="Times New Roman" w:hAnsi="Arial"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9D"/>
    <w:pPr>
      <w:spacing w:after="0" w:line="264" w:lineRule="auto"/>
    </w:pPr>
    <w:rPr>
      <w:rFonts w:ascii="Arial" w:eastAsia="Times New Roman" w:hAnsi="Arial" w:cs="Times New Roman"/>
      <w:lang w:eastAsia="en-AU"/>
    </w:rPr>
  </w:style>
  <w:style w:type="paragraph" w:styleId="Heading9">
    <w:name w:val="heading 9"/>
    <w:aliases w:val="Appendix Heading 1"/>
    <w:basedOn w:val="Normal"/>
    <w:next w:val="BodyText"/>
    <w:link w:val="Heading9Char"/>
    <w:uiPriority w:val="4"/>
    <w:rsid w:val="00C86DD3"/>
    <w:pPr>
      <w:keepNext/>
      <w:keepLines/>
      <w:pageBreakBefore/>
      <w:numPr>
        <w:numId w:val="2"/>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93F9D"/>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93F9D"/>
    <w:rPr>
      <w:rFonts w:ascii="Arial" w:eastAsia="Times New Roman" w:hAnsi="Arial" w:cs="Times New Roman"/>
      <w:lang w:eastAsia="en-AU"/>
    </w:rPr>
  </w:style>
  <w:style w:type="paragraph" w:styleId="ListNumber">
    <w:name w:val="List Number"/>
    <w:basedOn w:val="BodyText"/>
    <w:uiPriority w:val="99"/>
    <w:unhideWhenUsed/>
    <w:qFormat/>
    <w:rsid w:val="00A93F9D"/>
    <w:pPr>
      <w:tabs>
        <w:tab w:val="clear" w:pos="2268"/>
        <w:tab w:val="clear" w:pos="4536"/>
        <w:tab w:val="clear" w:pos="6804"/>
        <w:tab w:val="clear" w:pos="9638"/>
      </w:tabs>
      <w:spacing w:before="120"/>
    </w:pPr>
  </w:style>
  <w:style w:type="table" w:styleId="TableGrid">
    <w:name w:val="Table Grid"/>
    <w:basedOn w:val="TableNormal"/>
    <w:uiPriority w:val="59"/>
    <w:rsid w:val="00A93F9D"/>
    <w:pPr>
      <w:spacing w:before="60" w:after="60" w:line="264" w:lineRule="auto"/>
      <w:ind w:left="85" w:right="85"/>
    </w:pPr>
    <w:rPr>
      <w:rFonts w:eastAsia="Times New Roman" w:cs="Times New Roman"/>
      <w:sz w:val="18"/>
      <w:lang w:eastAsia="en-AU"/>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1F497D" w:themeFill="text2"/>
      </w:tcPr>
    </w:tblStylePr>
    <w:tblStylePr w:type="band2Horz">
      <w:tblPr/>
      <w:tcPr>
        <w:shd w:val="clear" w:color="auto" w:fill="EEECE1" w:themeFill="background2"/>
      </w:tcPr>
    </w:tblStylePr>
  </w:style>
  <w:style w:type="paragraph" w:customStyle="1" w:styleId="TableHeading">
    <w:name w:val="Table Heading"/>
    <w:basedOn w:val="Normal"/>
    <w:qFormat/>
    <w:rsid w:val="00A93F9D"/>
    <w:pPr>
      <w:spacing w:before="60" w:after="60"/>
      <w:ind w:left="85" w:right="85"/>
    </w:pPr>
    <w:rPr>
      <w:rFonts w:cs="Arial"/>
      <w:color w:val="FFFFFF"/>
      <w:sz w:val="18"/>
    </w:rPr>
  </w:style>
  <w:style w:type="paragraph" w:customStyle="1" w:styleId="TableBullet1">
    <w:name w:val="Table Bullet 1"/>
    <w:basedOn w:val="Normal"/>
    <w:qFormat/>
    <w:rsid w:val="00A93F9D"/>
    <w:pPr>
      <w:numPr>
        <w:numId w:val="1"/>
      </w:numPr>
      <w:spacing w:before="60" w:after="60"/>
      <w:ind w:right="85"/>
    </w:pPr>
    <w:rPr>
      <w:rFonts w:cs="Arial"/>
      <w:sz w:val="18"/>
    </w:rPr>
  </w:style>
  <w:style w:type="paragraph" w:customStyle="1" w:styleId="TableBullet2">
    <w:name w:val="Table Bullet 2"/>
    <w:basedOn w:val="TableBullet1"/>
    <w:qFormat/>
    <w:rsid w:val="00A93F9D"/>
    <w:pPr>
      <w:numPr>
        <w:ilvl w:val="1"/>
      </w:numPr>
    </w:pPr>
  </w:style>
  <w:style w:type="paragraph" w:customStyle="1" w:styleId="TableBullet3">
    <w:name w:val="Table Bullet 3"/>
    <w:basedOn w:val="TableBullet2"/>
    <w:qFormat/>
    <w:rsid w:val="00A93F9D"/>
    <w:pPr>
      <w:numPr>
        <w:ilvl w:val="2"/>
      </w:numPr>
    </w:p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A93F9D"/>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A93F9D"/>
    <w:pPr>
      <w:spacing w:after="160" w:line="256" w:lineRule="auto"/>
      <w:ind w:left="720"/>
      <w:contextualSpacing/>
    </w:pPr>
    <w:rPr>
      <w:rFonts w:asciiTheme="minorHAnsi" w:eastAsiaTheme="minorHAnsi" w:hAnsiTheme="minorHAnsi" w:cstheme="minorBidi"/>
      <w:lang w:eastAsia="en-US"/>
    </w:rPr>
  </w:style>
  <w:style w:type="character" w:customStyle="1" w:styleId="Heading9Char">
    <w:name w:val="Heading 9 Char"/>
    <w:aliases w:val="Appendix Heading 1 Char"/>
    <w:basedOn w:val="DefaultParagraphFont"/>
    <w:link w:val="Heading9"/>
    <w:uiPriority w:val="4"/>
    <w:rsid w:val="00C86DD3"/>
    <w:rPr>
      <w:rFonts w:asciiTheme="majorHAnsi" w:eastAsiaTheme="minorEastAsia" w:hAnsiTheme="majorHAnsi" w:cs="Arial"/>
      <w:b/>
      <w:color w:val="007BC1"/>
      <w:sz w:val="32"/>
    </w:rPr>
  </w:style>
  <w:style w:type="paragraph" w:customStyle="1" w:styleId="AppendixHeading2">
    <w:name w:val="Appendix Heading 2"/>
    <w:basedOn w:val="Normal"/>
    <w:next w:val="BodyText"/>
    <w:uiPriority w:val="4"/>
    <w:rsid w:val="00C86DD3"/>
    <w:pPr>
      <w:keepNext/>
      <w:numPr>
        <w:ilvl w:val="1"/>
        <w:numId w:val="2"/>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C86DD3"/>
    <w:pPr>
      <w:keepNext/>
      <w:numPr>
        <w:ilvl w:val="2"/>
        <w:numId w:val="2"/>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paragraph" w:customStyle="1" w:styleId="AppendixHeading4">
    <w:name w:val="Appendix Heading 4"/>
    <w:basedOn w:val="Normal"/>
    <w:next w:val="BodyText"/>
    <w:uiPriority w:val="4"/>
    <w:rsid w:val="00C86DD3"/>
    <w:pPr>
      <w:keepNext/>
      <w:numPr>
        <w:ilvl w:val="3"/>
        <w:numId w:val="2"/>
      </w:numPr>
      <w:spacing w:before="360" w:after="240"/>
    </w:pPr>
    <w:rPr>
      <w:rFonts w:asciiTheme="majorHAnsi" w:eastAsiaTheme="minorEastAsia" w:hAnsiTheme="majorHAnsi"/>
      <w:b/>
      <w:i/>
      <w:color w:val="007BC1"/>
      <w:lang w:eastAsia="en-US"/>
    </w:rPr>
  </w:style>
  <w:style w:type="paragraph" w:styleId="Header">
    <w:name w:val="header"/>
    <w:basedOn w:val="Normal"/>
    <w:link w:val="HeaderChar"/>
    <w:uiPriority w:val="99"/>
    <w:unhideWhenUsed/>
    <w:rsid w:val="00C86DD3"/>
    <w:pPr>
      <w:tabs>
        <w:tab w:val="center" w:pos="4513"/>
        <w:tab w:val="right" w:pos="9026"/>
      </w:tabs>
      <w:spacing w:line="240" w:lineRule="auto"/>
    </w:pPr>
  </w:style>
  <w:style w:type="character" w:customStyle="1" w:styleId="HeaderChar">
    <w:name w:val="Header Char"/>
    <w:basedOn w:val="DefaultParagraphFont"/>
    <w:link w:val="Header"/>
    <w:uiPriority w:val="99"/>
    <w:rsid w:val="00C86DD3"/>
    <w:rPr>
      <w:rFonts w:ascii="Arial" w:eastAsia="Times New Roman" w:hAnsi="Arial" w:cs="Times New Roman"/>
      <w:lang w:eastAsia="en-AU"/>
    </w:rPr>
  </w:style>
  <w:style w:type="paragraph" w:styleId="Footer">
    <w:name w:val="footer"/>
    <w:basedOn w:val="Normal"/>
    <w:link w:val="FooterChar"/>
    <w:uiPriority w:val="99"/>
    <w:unhideWhenUsed/>
    <w:rsid w:val="00C86DD3"/>
    <w:pPr>
      <w:tabs>
        <w:tab w:val="center" w:pos="4513"/>
        <w:tab w:val="right" w:pos="9026"/>
      </w:tabs>
      <w:spacing w:line="240" w:lineRule="auto"/>
    </w:pPr>
  </w:style>
  <w:style w:type="character" w:customStyle="1" w:styleId="FooterChar">
    <w:name w:val="Footer Char"/>
    <w:basedOn w:val="DefaultParagraphFont"/>
    <w:link w:val="Footer"/>
    <w:uiPriority w:val="99"/>
    <w:rsid w:val="00C86DD3"/>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D67F236E</Template>
  <TotalTime>215</TotalTime>
  <Pages>7</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Bowron</dc:creator>
  <cp:lastModifiedBy>Elizabeth Bowron</cp:lastModifiedBy>
  <cp:revision>6</cp:revision>
  <dcterms:created xsi:type="dcterms:W3CDTF">2018-09-27T03:56:00Z</dcterms:created>
  <dcterms:modified xsi:type="dcterms:W3CDTF">2018-09-27T07:33:00Z</dcterms:modified>
</cp:coreProperties>
</file>