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DE821" w14:textId="77777777" w:rsidR="00CF2D94" w:rsidRPr="00CF2D94" w:rsidRDefault="00BE75BB" w:rsidP="00627B0D">
      <w:pPr>
        <w:pStyle w:val="AEMCHEADERL1"/>
        <w:outlineLvl w:val="0"/>
      </w:pPr>
      <w:r>
        <w:t>A</w:t>
      </w:r>
      <w:r w:rsidR="005E638A">
        <w:t>TTACHMENT 1</w:t>
      </w:r>
    </w:p>
    <w:p w14:paraId="619F10D4" w14:textId="77777777" w:rsidR="00CF2D94" w:rsidRPr="00F73126" w:rsidRDefault="005E638A" w:rsidP="00627B0D">
      <w:pPr>
        <w:pStyle w:val="AEMCHeaderL2"/>
        <w:outlineLvl w:val="0"/>
        <w:rPr>
          <w:szCs w:val="36"/>
        </w:rPr>
      </w:pPr>
      <w:r>
        <w:t>stakeholder feedback template</w:t>
      </w:r>
    </w:p>
    <w:p w14:paraId="2E5582DD" w14:textId="186F5C7D" w:rsidR="00DD38E0" w:rsidRDefault="008C6A18" w:rsidP="000C745C">
      <w:pPr>
        <w:pStyle w:val="AEMCBodyCopyIntroPara"/>
        <w:rPr>
          <w:rStyle w:val="Hyperlink"/>
        </w:rPr>
      </w:pPr>
      <w:r w:rsidRPr="008C6A18">
        <w:rPr>
          <w:rStyle w:val="Hyperlink"/>
        </w:rPr>
        <w:t>The template below has been developed to enable stakeholders to provide their feedback on the questions posed in this paper and any other issues that they would like to provide feedback on. The AEMC encourages stakeholders to use this template to assist it to consider the views expressed by stakeholders on each issue. Stakeholders should not feel obliged to answer each question, but rather address those issues of particular interest or concern. Further context for the questions can be found in the consultation paper.</w:t>
      </w:r>
      <w:r w:rsidR="00C66FB7">
        <w:rPr>
          <w:rStyle w:val="Hyperlink"/>
        </w:rPr>
        <w:t xml:space="preserve"> Stakeholders are also encouraged to </w:t>
      </w:r>
      <w:r w:rsidR="00BB01AD">
        <w:rPr>
          <w:rStyle w:val="Hyperlink"/>
        </w:rPr>
        <w:t xml:space="preserve">provide evidence to support claims where possible. </w:t>
      </w:r>
    </w:p>
    <w:p w14:paraId="218A16B4" w14:textId="77777777" w:rsidR="008C6A18" w:rsidRPr="004E4060" w:rsidRDefault="008C6A18" w:rsidP="004E4060">
      <w:pPr>
        <w:pStyle w:val="AEMCHeaderL3"/>
        <w:rPr>
          <w:rStyle w:val="Hyperlink"/>
        </w:rPr>
      </w:pPr>
      <w:r w:rsidRPr="004E4060">
        <w:rPr>
          <w:rStyle w:val="Hyperlink"/>
        </w:rPr>
        <w:t>SUBMITTER DETAILS</w:t>
      </w:r>
    </w:p>
    <w:tbl>
      <w:tblPr>
        <w:tblStyle w:val="TableGrid"/>
        <w:tblW w:w="14599"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13039"/>
      </w:tblGrid>
      <w:tr w:rsidR="009E7726" w:rsidRPr="00A85F9E" w14:paraId="0E4E8C04" w14:textId="77777777" w:rsidTr="009E7726">
        <w:tc>
          <w:tcPr>
            <w:tcW w:w="1560" w:type="dxa"/>
          </w:tcPr>
          <w:p w14:paraId="4995B6A1" w14:textId="77777777" w:rsidR="008C6A18" w:rsidRPr="00780BB3" w:rsidRDefault="000C745C" w:rsidP="000C745C">
            <w:pPr>
              <w:pStyle w:val="AEMCTableCopySubmitterDetails"/>
              <w:rPr>
                <w:rStyle w:val="Hyperlink"/>
                <w:b/>
              </w:rPr>
            </w:pPr>
            <w:r w:rsidRPr="00780BB3">
              <w:rPr>
                <w:rStyle w:val="Hyperlink"/>
                <w:b/>
              </w:rPr>
              <w:t>ORGANISATION:</w:t>
            </w:r>
          </w:p>
        </w:tc>
        <w:tc>
          <w:tcPr>
            <w:tcW w:w="13039" w:type="dxa"/>
          </w:tcPr>
          <w:p w14:paraId="0F8C2405" w14:textId="77777777" w:rsidR="008C6A18" w:rsidRPr="00785222" w:rsidRDefault="00712806" w:rsidP="009E7726">
            <w:pPr>
              <w:pStyle w:val="AEMCTableCopySubmitterDetails"/>
              <w:tabs>
                <w:tab w:val="left" w:pos="5727"/>
              </w:tabs>
              <w:rPr>
                <w:rStyle w:val="Hyperlink"/>
              </w:rPr>
            </w:pPr>
            <w:r w:rsidRPr="00785222">
              <w:rPr>
                <w:rStyle w:val="Hyperlink"/>
              </w:rPr>
              <w:fldChar w:fldCharType="begin">
                <w:ffData>
                  <w:name w:val="Text1"/>
                  <w:enabled/>
                  <w:calcOnExit w:val="0"/>
                  <w:textInput/>
                </w:ffData>
              </w:fldChar>
            </w:r>
            <w:bookmarkStart w:id="0" w:name="Text1"/>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0"/>
          </w:p>
        </w:tc>
      </w:tr>
      <w:tr w:rsidR="009E7726" w:rsidRPr="00A85F9E" w14:paraId="4E0134D7" w14:textId="77777777" w:rsidTr="009E7726">
        <w:tc>
          <w:tcPr>
            <w:tcW w:w="1560" w:type="dxa"/>
          </w:tcPr>
          <w:p w14:paraId="765E31C4" w14:textId="77777777" w:rsidR="008C6A18" w:rsidRPr="00780BB3" w:rsidRDefault="000C745C" w:rsidP="000C745C">
            <w:pPr>
              <w:pStyle w:val="AEMCTableCopySubmitterDetails"/>
              <w:rPr>
                <w:rStyle w:val="Hyperlink"/>
                <w:b/>
              </w:rPr>
            </w:pPr>
            <w:r w:rsidRPr="00780BB3">
              <w:rPr>
                <w:rStyle w:val="Hyperlink"/>
                <w:b/>
              </w:rPr>
              <w:t>CONTACT NAME:</w:t>
            </w:r>
          </w:p>
        </w:tc>
        <w:tc>
          <w:tcPr>
            <w:tcW w:w="13039" w:type="dxa"/>
          </w:tcPr>
          <w:p w14:paraId="16A834E0" w14:textId="77777777" w:rsidR="008C6A18" w:rsidRPr="00785222" w:rsidRDefault="00712806" w:rsidP="00785222">
            <w:pPr>
              <w:pStyle w:val="AEMCTableCopySubmitterDetails"/>
              <w:rPr>
                <w:rStyle w:val="Hyperlink"/>
              </w:rPr>
            </w:pPr>
            <w:r w:rsidRPr="00785222">
              <w:rPr>
                <w:rStyle w:val="Hyperlink"/>
              </w:rPr>
              <w:fldChar w:fldCharType="begin">
                <w:ffData>
                  <w:name w:val="Text2"/>
                  <w:enabled/>
                  <w:calcOnExit w:val="0"/>
                  <w:textInput/>
                </w:ffData>
              </w:fldChar>
            </w:r>
            <w:bookmarkStart w:id="1" w:name="Text2"/>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
          </w:p>
        </w:tc>
      </w:tr>
      <w:tr w:rsidR="009E7726" w:rsidRPr="00A85F9E" w14:paraId="377D784D" w14:textId="77777777" w:rsidTr="009E7726">
        <w:tc>
          <w:tcPr>
            <w:tcW w:w="1560" w:type="dxa"/>
          </w:tcPr>
          <w:p w14:paraId="1F54F02D" w14:textId="77777777" w:rsidR="008C6A18" w:rsidRPr="00780BB3" w:rsidRDefault="000C745C" w:rsidP="000C745C">
            <w:pPr>
              <w:pStyle w:val="AEMCTableCopySubmitterDetails"/>
              <w:rPr>
                <w:rStyle w:val="Hyperlink"/>
                <w:b/>
              </w:rPr>
            </w:pPr>
            <w:r w:rsidRPr="00780BB3">
              <w:rPr>
                <w:rStyle w:val="Hyperlink"/>
                <w:b/>
              </w:rPr>
              <w:t>EMAIL:</w:t>
            </w:r>
          </w:p>
        </w:tc>
        <w:tc>
          <w:tcPr>
            <w:tcW w:w="13039" w:type="dxa"/>
          </w:tcPr>
          <w:p w14:paraId="188EC08C" w14:textId="77777777" w:rsidR="008C6A18" w:rsidRPr="00785222" w:rsidRDefault="00712806" w:rsidP="00785222">
            <w:pPr>
              <w:pStyle w:val="AEMCTableCopySubmitterDetails"/>
              <w:rPr>
                <w:rStyle w:val="Hyperlink"/>
              </w:rPr>
            </w:pPr>
            <w:r w:rsidRPr="00785222">
              <w:rPr>
                <w:rStyle w:val="Hyperlink"/>
              </w:rPr>
              <w:fldChar w:fldCharType="begin">
                <w:ffData>
                  <w:name w:val="Text3"/>
                  <w:enabled/>
                  <w:calcOnExit w:val="0"/>
                  <w:textInput/>
                </w:ffData>
              </w:fldChar>
            </w:r>
            <w:bookmarkStart w:id="2" w:name="Text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2"/>
          </w:p>
        </w:tc>
      </w:tr>
      <w:tr w:rsidR="009E7726" w:rsidRPr="00A85F9E" w14:paraId="195B3E40" w14:textId="77777777" w:rsidTr="009E7726">
        <w:tc>
          <w:tcPr>
            <w:tcW w:w="1560" w:type="dxa"/>
          </w:tcPr>
          <w:p w14:paraId="637CF9B6" w14:textId="77777777" w:rsidR="008C6A18" w:rsidRPr="00780BB3" w:rsidRDefault="000C745C" w:rsidP="000C745C">
            <w:pPr>
              <w:pStyle w:val="AEMCTableCopySubmitterDetails"/>
              <w:rPr>
                <w:rStyle w:val="Hyperlink"/>
                <w:b/>
              </w:rPr>
            </w:pPr>
            <w:r w:rsidRPr="00780BB3">
              <w:rPr>
                <w:rStyle w:val="Hyperlink"/>
                <w:b/>
              </w:rPr>
              <w:t>PHONE:</w:t>
            </w:r>
          </w:p>
        </w:tc>
        <w:tc>
          <w:tcPr>
            <w:tcW w:w="13039" w:type="dxa"/>
          </w:tcPr>
          <w:p w14:paraId="4C84AFDB" w14:textId="77777777" w:rsidR="008C6A18" w:rsidRPr="00785222" w:rsidRDefault="00712806" w:rsidP="00785222">
            <w:pPr>
              <w:pStyle w:val="AEMCTableCopySubmitterDetails"/>
              <w:rPr>
                <w:rStyle w:val="Hyperlink"/>
              </w:rPr>
            </w:pPr>
            <w:r w:rsidRPr="00785222">
              <w:rPr>
                <w:rStyle w:val="Hyperlink"/>
              </w:rPr>
              <w:fldChar w:fldCharType="begin">
                <w:ffData>
                  <w:name w:val="Text4"/>
                  <w:enabled/>
                  <w:calcOnExit w:val="0"/>
                  <w:textInput/>
                </w:ffData>
              </w:fldChar>
            </w:r>
            <w:bookmarkStart w:id="3" w:name="Text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3"/>
          </w:p>
        </w:tc>
      </w:tr>
    </w:tbl>
    <w:p w14:paraId="6FE06CE3" w14:textId="77777777" w:rsidR="00705380" w:rsidRDefault="00705380" w:rsidP="008A4886">
      <w:pPr>
        <w:pStyle w:val="AEMCHeaderL4"/>
        <w:rPr>
          <w:rStyle w:val="Hyperlink"/>
          <w:b/>
        </w:rPr>
      </w:pPr>
    </w:p>
    <w:p w14:paraId="11000F15" w14:textId="77777777" w:rsidR="00705380" w:rsidRDefault="00705380" w:rsidP="008A4886">
      <w:pPr>
        <w:pStyle w:val="AEMCHeaderL4"/>
        <w:rPr>
          <w:rStyle w:val="Hyperlink"/>
          <w:b/>
        </w:rPr>
      </w:pPr>
    </w:p>
    <w:p w14:paraId="5D9DAB32" w14:textId="77777777" w:rsidR="00705380" w:rsidRDefault="00705380" w:rsidP="008A4886">
      <w:pPr>
        <w:pStyle w:val="AEMCHeaderL4"/>
        <w:rPr>
          <w:rStyle w:val="Hyperlink"/>
          <w:b/>
        </w:rPr>
      </w:pPr>
    </w:p>
    <w:p w14:paraId="7798E458" w14:textId="77777777" w:rsidR="00705380" w:rsidRDefault="00705380" w:rsidP="008A4886">
      <w:pPr>
        <w:pStyle w:val="AEMCHeaderL4"/>
        <w:rPr>
          <w:rStyle w:val="Hyperlink"/>
          <w:b/>
        </w:rPr>
      </w:pPr>
    </w:p>
    <w:p w14:paraId="3B496FF8" w14:textId="77777777" w:rsidR="00705380" w:rsidRDefault="00705380" w:rsidP="008A4886">
      <w:pPr>
        <w:pStyle w:val="AEMCHeaderL4"/>
        <w:rPr>
          <w:rStyle w:val="Hyperlink"/>
          <w:b/>
        </w:rPr>
      </w:pPr>
    </w:p>
    <w:p w14:paraId="7C9709EF" w14:textId="77777777" w:rsidR="00705380" w:rsidRDefault="00705380" w:rsidP="008A4886">
      <w:pPr>
        <w:pStyle w:val="AEMCHeaderL4"/>
        <w:rPr>
          <w:rStyle w:val="Hyperlink"/>
          <w:b/>
        </w:rPr>
      </w:pPr>
    </w:p>
    <w:p w14:paraId="5C6FE0FC" w14:textId="394FDA83" w:rsidR="00A85F9E" w:rsidRPr="008A4886" w:rsidRDefault="008A4886" w:rsidP="008A4886">
      <w:pPr>
        <w:pStyle w:val="AEMCHeaderL4"/>
        <w:rPr>
          <w:rStyle w:val="Hyperlink"/>
        </w:rPr>
      </w:pPr>
      <w:r w:rsidRPr="008A4886">
        <w:rPr>
          <w:rStyle w:val="Hyperlink"/>
          <w:b/>
        </w:rPr>
        <w:lastRenderedPageBreak/>
        <w:t xml:space="preserve">CHAPTER </w:t>
      </w:r>
      <w:r w:rsidR="00981E84">
        <w:rPr>
          <w:rStyle w:val="Hyperlink"/>
          <w:b/>
        </w:rPr>
        <w:t>5</w:t>
      </w:r>
      <w:r w:rsidRPr="008A4886">
        <w:rPr>
          <w:rStyle w:val="Hyperlink"/>
        </w:rPr>
        <w:t xml:space="preserve"> – </w:t>
      </w:r>
      <w:r w:rsidR="00DD0B3D">
        <w:rPr>
          <w:rStyle w:val="Hyperlink"/>
        </w:rPr>
        <w:t xml:space="preserve">sECTION </w:t>
      </w:r>
      <w:r w:rsidR="00981E84">
        <w:rPr>
          <w:rStyle w:val="Hyperlink"/>
        </w:rPr>
        <w:t>5</w:t>
      </w:r>
      <w:r w:rsidR="00F72FFE">
        <w:rPr>
          <w:rStyle w:val="Hyperlink"/>
        </w:rPr>
        <w:t>.</w:t>
      </w:r>
      <w:r w:rsidR="00DD4A75">
        <w:rPr>
          <w:rStyle w:val="Hyperlink"/>
        </w:rPr>
        <w:t>1</w:t>
      </w:r>
      <w:r w:rsidR="00DD0B3D">
        <w:rPr>
          <w:rStyle w:val="Hyperlink"/>
        </w:rPr>
        <w:t xml:space="preserve"> </w:t>
      </w:r>
      <w:r w:rsidR="00052A04">
        <w:rPr>
          <w:rStyle w:val="Hyperlink"/>
        </w:rPr>
        <w:t>–</w:t>
      </w:r>
      <w:r w:rsidR="00DD0B3D">
        <w:rPr>
          <w:rStyle w:val="Hyperlink"/>
        </w:rPr>
        <w:t xml:space="preserve"> </w:t>
      </w:r>
      <w:r w:rsidR="00981E84">
        <w:rPr>
          <w:rStyle w:val="Hyperlink"/>
        </w:rPr>
        <w:t>ISSUE IDENTIFIED BY EWON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052A04" w:rsidRPr="0000465F" w14:paraId="4D2E8330" w14:textId="77777777" w:rsidTr="00052A04">
        <w:trPr>
          <w:trHeight w:val="567"/>
        </w:trPr>
        <w:tc>
          <w:tcPr>
            <w:tcW w:w="14626" w:type="dxa"/>
            <w:gridSpan w:val="2"/>
            <w:tcBorders>
              <w:top w:val="single" w:sz="18" w:space="0" w:color="00A8E5" w:themeColor="accent1"/>
            </w:tcBorders>
            <w:shd w:val="clear" w:color="auto" w:fill="F6F6F6"/>
            <w:vAlign w:val="center"/>
          </w:tcPr>
          <w:p w14:paraId="4B17052E" w14:textId="7544DE06" w:rsidR="00052A04" w:rsidRPr="00052A04" w:rsidRDefault="00052A04" w:rsidP="00B6777E">
            <w:pPr>
              <w:pStyle w:val="AEMCTableBodyCopyNumbers"/>
              <w:numPr>
                <w:ilvl w:val="0"/>
                <w:numId w:val="0"/>
              </w:numPr>
              <w:rPr>
                <w:rStyle w:val="Hyperlink"/>
                <w:b/>
              </w:rPr>
            </w:pPr>
          </w:p>
        </w:tc>
      </w:tr>
      <w:tr w:rsidR="009E7726" w:rsidRPr="0000465F" w14:paraId="05437FE7" w14:textId="77777777" w:rsidTr="00052A04">
        <w:trPr>
          <w:trHeight w:val="850"/>
        </w:trPr>
        <w:tc>
          <w:tcPr>
            <w:tcW w:w="4535" w:type="dxa"/>
            <w:tcBorders>
              <w:right w:val="single" w:sz="2" w:space="0" w:color="58595B" w:themeColor="accent4"/>
            </w:tcBorders>
            <w:shd w:val="clear" w:color="auto" w:fill="F6F6F6"/>
            <w:vAlign w:val="center"/>
          </w:tcPr>
          <w:p w14:paraId="6F99D5B1" w14:textId="63F886EE" w:rsidR="00DF3026" w:rsidRPr="00DF3026" w:rsidRDefault="00DF3026" w:rsidP="00DF3026">
            <w:pPr>
              <w:autoSpaceDE w:val="0"/>
              <w:autoSpaceDN w:val="0"/>
              <w:adjustRightInd w:val="0"/>
              <w:spacing w:line="240" w:lineRule="auto"/>
              <w:rPr>
                <w:rFonts w:ascii="HODFP N+ Tahoma" w:hAnsi="HODFP N+ Tahoma" w:cs="HODFP N+ Tahoma"/>
                <w:color w:val="262526"/>
                <w:sz w:val="22"/>
                <w:lang w:val="en-AU"/>
              </w:rPr>
            </w:pPr>
            <w:r w:rsidRPr="00DF3026">
              <w:rPr>
                <w:rFonts w:ascii="HODFP N+ Tahoma" w:hAnsi="HODFP N+ Tahoma" w:cs="HODFP N+ Tahoma"/>
                <w:color w:val="262526"/>
                <w:sz w:val="22"/>
                <w:lang w:val="en-AU"/>
              </w:rPr>
              <w:t xml:space="preserve"> </w:t>
            </w:r>
          </w:p>
          <w:p w14:paraId="0C6B9B3D" w14:textId="5437B3A9" w:rsidR="008A4886" w:rsidRPr="00DF3026" w:rsidRDefault="00DF3026" w:rsidP="00DF3026">
            <w:pPr>
              <w:numPr>
                <w:ilvl w:val="0"/>
                <w:numId w:val="20"/>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DF3026">
              <w:rPr>
                <w:rFonts w:ascii="HODFP N+ Tahoma" w:hAnsi="HODFP N+ Tahoma" w:cs="HODFP N+ Tahoma"/>
                <w:color w:val="464646"/>
                <w:sz w:val="20"/>
                <w:szCs w:val="20"/>
                <w:lang w:val="en-AU"/>
              </w:rPr>
              <w:t xml:space="preserve">Do stakeholders agree that requirements for medical confirmation to be resubmitted deter life support customers from changing premises or retailer? If so, what are the main barriers or costs that may deter switching activity by life support customers? </w:t>
            </w:r>
          </w:p>
        </w:tc>
        <w:tc>
          <w:tcPr>
            <w:tcW w:w="10091" w:type="dxa"/>
            <w:tcBorders>
              <w:left w:val="single" w:sz="2" w:space="0" w:color="58595B" w:themeColor="accent4"/>
            </w:tcBorders>
            <w:vAlign w:val="center"/>
          </w:tcPr>
          <w:p w14:paraId="172F1BA0" w14:textId="77777777" w:rsidR="008A4886" w:rsidRPr="00785222" w:rsidRDefault="00712806" w:rsidP="00052A04">
            <w:pPr>
              <w:pStyle w:val="AEMCTableBodyCopy"/>
              <w:rPr>
                <w:rStyle w:val="Hyperlink"/>
              </w:rPr>
            </w:pPr>
            <w:r w:rsidRPr="00785222">
              <w:rPr>
                <w:rStyle w:val="Hyperlink"/>
              </w:rPr>
              <w:fldChar w:fldCharType="begin">
                <w:ffData>
                  <w:name w:val="Text6"/>
                  <w:enabled/>
                  <w:calcOnExit w:val="0"/>
                  <w:textInput/>
                </w:ffData>
              </w:fldChar>
            </w:r>
            <w:bookmarkStart w:id="4" w:name="Text6"/>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4"/>
          </w:p>
        </w:tc>
      </w:tr>
      <w:tr w:rsidR="00052A04" w:rsidRPr="0000465F" w14:paraId="25E2C388" w14:textId="77777777" w:rsidTr="00052A04">
        <w:trPr>
          <w:trHeight w:val="850"/>
        </w:trPr>
        <w:tc>
          <w:tcPr>
            <w:tcW w:w="4535" w:type="dxa"/>
            <w:tcBorders>
              <w:right w:val="single" w:sz="2" w:space="0" w:color="58595B" w:themeColor="accent4"/>
            </w:tcBorders>
            <w:shd w:val="clear" w:color="auto" w:fill="F6F6F6"/>
            <w:vAlign w:val="center"/>
          </w:tcPr>
          <w:p w14:paraId="4B85E572" w14:textId="77777777" w:rsidR="00DF3026" w:rsidRPr="00DF3026" w:rsidRDefault="00DF3026" w:rsidP="00DF3026">
            <w:pPr>
              <w:numPr>
                <w:ilvl w:val="0"/>
                <w:numId w:val="20"/>
              </w:numPr>
              <w:autoSpaceDE w:val="0"/>
              <w:autoSpaceDN w:val="0"/>
              <w:adjustRightInd w:val="0"/>
              <w:spacing w:after="16" w:line="240" w:lineRule="auto"/>
              <w:ind w:left="360" w:hanging="360"/>
              <w:rPr>
                <w:rFonts w:ascii="HODFP N+ Tahoma" w:hAnsi="HODFP N+ Tahoma" w:cs="HODFP N+ Tahoma"/>
                <w:color w:val="464646"/>
                <w:sz w:val="20"/>
                <w:szCs w:val="20"/>
                <w:lang w:val="en-AU"/>
              </w:rPr>
            </w:pPr>
            <w:r w:rsidRPr="00DF3026">
              <w:rPr>
                <w:rFonts w:ascii="HODFP N+ Tahoma" w:hAnsi="HODFP N+ Tahoma" w:cs="HODFP N+ Tahoma"/>
                <w:color w:val="464646"/>
                <w:sz w:val="20"/>
                <w:szCs w:val="20"/>
                <w:lang w:val="en-AU"/>
              </w:rPr>
              <w:t xml:space="preserve">What is the appropriate allocation of responsibility between life support customers and businesses with respect to the resubmission of medical confirmation? </w:t>
            </w:r>
          </w:p>
          <w:p w14:paraId="098E6BEE" w14:textId="463071AD" w:rsidR="00052A04" w:rsidRPr="00052A04" w:rsidRDefault="00052A04" w:rsidP="00DF3026">
            <w:pPr>
              <w:pStyle w:val="AEMCTableBodyCopyNumbers"/>
              <w:numPr>
                <w:ilvl w:val="0"/>
                <w:numId w:val="0"/>
              </w:numPr>
              <w:ind w:left="284" w:hanging="284"/>
              <w:rPr>
                <w:rStyle w:val="Hyperlink"/>
              </w:rPr>
            </w:pPr>
          </w:p>
        </w:tc>
        <w:tc>
          <w:tcPr>
            <w:tcW w:w="10091" w:type="dxa"/>
            <w:tcBorders>
              <w:left w:val="single" w:sz="2" w:space="0" w:color="58595B" w:themeColor="accent4"/>
            </w:tcBorders>
            <w:vAlign w:val="center"/>
          </w:tcPr>
          <w:p w14:paraId="37CF46FA" w14:textId="77777777" w:rsidR="00052A04" w:rsidRPr="00785222" w:rsidRDefault="002B679B" w:rsidP="00052A04">
            <w:pPr>
              <w:pStyle w:val="AEMCTableBodyCopy"/>
              <w:rPr>
                <w:rStyle w:val="Hyperlink"/>
              </w:rPr>
            </w:pPr>
            <w:r w:rsidRPr="00785222">
              <w:rPr>
                <w:rStyle w:val="Hyperlink"/>
              </w:rPr>
              <w:fldChar w:fldCharType="begin">
                <w:ffData>
                  <w:name w:val="Text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52A04" w:rsidRPr="0000465F" w14:paraId="203A5A15" w14:textId="77777777" w:rsidTr="00052A04">
        <w:trPr>
          <w:trHeight w:val="850"/>
        </w:trPr>
        <w:tc>
          <w:tcPr>
            <w:tcW w:w="4535" w:type="dxa"/>
            <w:tcBorders>
              <w:right w:val="single" w:sz="2" w:space="0" w:color="58595B" w:themeColor="accent4"/>
            </w:tcBorders>
            <w:shd w:val="clear" w:color="auto" w:fill="F6F6F6"/>
            <w:vAlign w:val="center"/>
          </w:tcPr>
          <w:p w14:paraId="077402AA" w14:textId="7D823341" w:rsidR="00052A04" w:rsidRPr="00DF3026" w:rsidRDefault="00DF3026" w:rsidP="00DF3026">
            <w:pPr>
              <w:numPr>
                <w:ilvl w:val="0"/>
                <w:numId w:val="20"/>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DF3026">
              <w:rPr>
                <w:rFonts w:ascii="HODFP N+ Tahoma" w:hAnsi="HODFP N+ Tahoma" w:cs="HODFP N+ Tahoma"/>
                <w:color w:val="464646"/>
                <w:sz w:val="20"/>
                <w:szCs w:val="20"/>
                <w:lang w:val="en-AU"/>
              </w:rPr>
              <w:t xml:space="preserve">How do retailers and DNSPs record, share, use and maintain life support information in practice? </w:t>
            </w:r>
          </w:p>
        </w:tc>
        <w:tc>
          <w:tcPr>
            <w:tcW w:w="10091" w:type="dxa"/>
            <w:tcBorders>
              <w:left w:val="single" w:sz="2" w:space="0" w:color="58595B" w:themeColor="accent4"/>
            </w:tcBorders>
            <w:vAlign w:val="center"/>
          </w:tcPr>
          <w:p w14:paraId="0896E776" w14:textId="77777777" w:rsidR="00052A04" w:rsidRPr="00785222" w:rsidRDefault="00052A04" w:rsidP="00052A0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DF3026" w:rsidRPr="0000465F" w14:paraId="543E9178" w14:textId="77777777" w:rsidTr="00052A04">
        <w:trPr>
          <w:trHeight w:val="850"/>
        </w:trPr>
        <w:tc>
          <w:tcPr>
            <w:tcW w:w="4535" w:type="dxa"/>
            <w:tcBorders>
              <w:right w:val="single" w:sz="2" w:space="0" w:color="58595B" w:themeColor="accent4"/>
            </w:tcBorders>
            <w:shd w:val="clear" w:color="auto" w:fill="F6F6F6"/>
            <w:vAlign w:val="center"/>
          </w:tcPr>
          <w:p w14:paraId="1C481BF1" w14:textId="7746F28D" w:rsidR="00DF3026" w:rsidRPr="00DF3026" w:rsidRDefault="00DF3026" w:rsidP="00DF3026">
            <w:pPr>
              <w:numPr>
                <w:ilvl w:val="0"/>
                <w:numId w:val="20"/>
              </w:numPr>
              <w:autoSpaceDE w:val="0"/>
              <w:autoSpaceDN w:val="0"/>
              <w:adjustRightInd w:val="0"/>
              <w:spacing w:after="16" w:line="240" w:lineRule="auto"/>
              <w:ind w:left="360" w:hanging="360"/>
              <w:rPr>
                <w:rFonts w:ascii="HODFP N+ Tahoma" w:hAnsi="HODFP N+ Tahoma" w:cs="HODFP N+ Tahoma"/>
                <w:color w:val="464646"/>
                <w:sz w:val="20"/>
                <w:szCs w:val="20"/>
                <w:lang w:val="en-AU"/>
              </w:rPr>
            </w:pPr>
            <w:r w:rsidRPr="00DF3026">
              <w:rPr>
                <w:rFonts w:ascii="HODFP N+ Tahoma" w:hAnsi="HODFP N+ Tahoma" w:cs="HODFP N+ Tahoma"/>
                <w:color w:val="464646"/>
                <w:sz w:val="20"/>
                <w:szCs w:val="20"/>
                <w:lang w:val="en-AU"/>
              </w:rPr>
              <w:t xml:space="preserve">Are there any other obligations imposed on retailers, DNSPs or customers relating to life support outside of the NERR (for example under jurisdictional concession schemes)? If so, what are those obligations and how do they interact with the obligations under the NERR? </w:t>
            </w:r>
          </w:p>
        </w:tc>
        <w:tc>
          <w:tcPr>
            <w:tcW w:w="10091" w:type="dxa"/>
            <w:tcBorders>
              <w:left w:val="single" w:sz="2" w:space="0" w:color="58595B" w:themeColor="accent4"/>
            </w:tcBorders>
            <w:vAlign w:val="center"/>
          </w:tcPr>
          <w:p w14:paraId="1564B9F4" w14:textId="77777777" w:rsidR="00DF3026" w:rsidRPr="00785222" w:rsidRDefault="00DF3026" w:rsidP="00052A04">
            <w:pPr>
              <w:pStyle w:val="AEMCTableBodyCopy"/>
              <w:rPr>
                <w:rStyle w:val="Hyperlink"/>
              </w:rPr>
            </w:pPr>
          </w:p>
        </w:tc>
      </w:tr>
      <w:tr w:rsidR="00DF3026" w:rsidRPr="0000465F" w14:paraId="62B81B9C" w14:textId="77777777" w:rsidTr="00052A04">
        <w:trPr>
          <w:trHeight w:val="850"/>
        </w:trPr>
        <w:tc>
          <w:tcPr>
            <w:tcW w:w="4535" w:type="dxa"/>
            <w:tcBorders>
              <w:right w:val="single" w:sz="2" w:space="0" w:color="58595B" w:themeColor="accent4"/>
            </w:tcBorders>
            <w:shd w:val="clear" w:color="auto" w:fill="F6F6F6"/>
            <w:vAlign w:val="center"/>
          </w:tcPr>
          <w:p w14:paraId="4657D2BF" w14:textId="61E4EFF7" w:rsidR="00DF3026" w:rsidRPr="00DF3026" w:rsidRDefault="00DF3026" w:rsidP="00DF3026">
            <w:pPr>
              <w:numPr>
                <w:ilvl w:val="0"/>
                <w:numId w:val="20"/>
              </w:numPr>
              <w:autoSpaceDE w:val="0"/>
              <w:autoSpaceDN w:val="0"/>
              <w:adjustRightInd w:val="0"/>
              <w:spacing w:after="16" w:line="240" w:lineRule="auto"/>
              <w:ind w:left="360" w:hanging="360"/>
              <w:rPr>
                <w:rFonts w:ascii="HODFP N+ Tahoma" w:hAnsi="HODFP N+ Tahoma" w:cs="HODFP N+ Tahoma"/>
                <w:color w:val="464646"/>
                <w:sz w:val="20"/>
                <w:szCs w:val="20"/>
                <w:lang w:val="en-AU"/>
              </w:rPr>
            </w:pPr>
            <w:r w:rsidRPr="00DF3026">
              <w:rPr>
                <w:rFonts w:ascii="HODFP N+ Tahoma" w:hAnsi="HODFP N+ Tahoma" w:cs="HODFP N+ Tahoma"/>
                <w:color w:val="464646"/>
                <w:sz w:val="20"/>
                <w:szCs w:val="20"/>
                <w:lang w:val="en-AU"/>
              </w:rPr>
              <w:t xml:space="preserve">Do stakeholders agree with the Commission's description of scenarios where life support customers may be required to resubmit medical confirmation? Should additional scenarios be contemplated? </w:t>
            </w:r>
          </w:p>
        </w:tc>
        <w:tc>
          <w:tcPr>
            <w:tcW w:w="10091" w:type="dxa"/>
            <w:tcBorders>
              <w:left w:val="single" w:sz="2" w:space="0" w:color="58595B" w:themeColor="accent4"/>
            </w:tcBorders>
            <w:vAlign w:val="center"/>
          </w:tcPr>
          <w:p w14:paraId="323CD4AF" w14:textId="77777777" w:rsidR="00DF3026" w:rsidRPr="00785222" w:rsidRDefault="00DF3026" w:rsidP="00052A04">
            <w:pPr>
              <w:pStyle w:val="AEMCTableBodyCopy"/>
              <w:rPr>
                <w:rStyle w:val="Hyperlink"/>
              </w:rPr>
            </w:pPr>
          </w:p>
        </w:tc>
      </w:tr>
      <w:tr w:rsidR="00DF3026" w:rsidRPr="0000465F" w14:paraId="1D661CE7" w14:textId="77777777" w:rsidTr="00052A04">
        <w:trPr>
          <w:trHeight w:val="850"/>
        </w:trPr>
        <w:tc>
          <w:tcPr>
            <w:tcW w:w="4535" w:type="dxa"/>
            <w:tcBorders>
              <w:right w:val="single" w:sz="2" w:space="0" w:color="58595B" w:themeColor="accent4"/>
            </w:tcBorders>
            <w:shd w:val="clear" w:color="auto" w:fill="F6F6F6"/>
            <w:vAlign w:val="center"/>
          </w:tcPr>
          <w:p w14:paraId="13200C07" w14:textId="1CEF0073" w:rsidR="00DF3026" w:rsidRPr="00DF3026" w:rsidRDefault="00DF3026" w:rsidP="00DF3026">
            <w:pPr>
              <w:numPr>
                <w:ilvl w:val="0"/>
                <w:numId w:val="20"/>
              </w:numPr>
              <w:autoSpaceDE w:val="0"/>
              <w:autoSpaceDN w:val="0"/>
              <w:adjustRightInd w:val="0"/>
              <w:spacing w:line="240" w:lineRule="auto"/>
              <w:ind w:left="360" w:hanging="360"/>
              <w:rPr>
                <w:rFonts w:ascii="HODFP N+ Tahoma" w:hAnsi="HODFP N+ Tahoma" w:cs="HODFP N+ Tahoma"/>
                <w:color w:val="464646"/>
                <w:sz w:val="20"/>
                <w:szCs w:val="20"/>
                <w:lang w:val="en-AU"/>
              </w:rPr>
            </w:pPr>
            <w:r w:rsidRPr="00DF3026">
              <w:rPr>
                <w:rFonts w:ascii="HODFP N+ Tahoma" w:hAnsi="HODFP N+ Tahoma" w:cs="HODFP N+ Tahoma"/>
                <w:color w:val="464646"/>
                <w:sz w:val="20"/>
                <w:szCs w:val="20"/>
                <w:lang w:val="en-AU"/>
              </w:rPr>
              <w:lastRenderedPageBreak/>
              <w:t>What are the costs and benefits of rule 125(14) relating to life support deregistration? Are there risks that life support customers will be deregistered inadvertently?</w:t>
            </w:r>
          </w:p>
        </w:tc>
        <w:tc>
          <w:tcPr>
            <w:tcW w:w="10091" w:type="dxa"/>
            <w:tcBorders>
              <w:left w:val="single" w:sz="2" w:space="0" w:color="58595B" w:themeColor="accent4"/>
            </w:tcBorders>
            <w:vAlign w:val="center"/>
          </w:tcPr>
          <w:p w14:paraId="4F7A2EE6" w14:textId="77777777" w:rsidR="00DF3026" w:rsidRPr="00785222" w:rsidRDefault="00DF3026" w:rsidP="00052A04">
            <w:pPr>
              <w:pStyle w:val="AEMCTableBodyCopy"/>
              <w:rPr>
                <w:rStyle w:val="Hyperlink"/>
              </w:rPr>
            </w:pPr>
          </w:p>
        </w:tc>
      </w:tr>
    </w:tbl>
    <w:p w14:paraId="136053E7" w14:textId="7ABAE80D" w:rsidR="00D17ED4" w:rsidRDefault="00D17ED4" w:rsidP="00DD0B3D">
      <w:pPr>
        <w:pStyle w:val="AEMCHeaderL4"/>
        <w:rPr>
          <w:rStyle w:val="Hyperlink"/>
          <w:b/>
        </w:rPr>
      </w:pPr>
    </w:p>
    <w:p w14:paraId="6F65420A" w14:textId="77777777" w:rsidR="00D17ED4" w:rsidRDefault="00D17ED4">
      <w:pPr>
        <w:spacing w:line="259" w:lineRule="auto"/>
        <w:rPr>
          <w:rStyle w:val="Hyperlink"/>
          <w:rFonts w:cs="Times New Roman (Body CS)"/>
          <w:b/>
          <w:caps/>
          <w:color w:val="00A8E5" w:themeColor="accent1"/>
          <w:sz w:val="22"/>
          <w:szCs w:val="24"/>
        </w:rPr>
      </w:pPr>
      <w:r>
        <w:rPr>
          <w:rStyle w:val="Hyperlink"/>
          <w:b/>
        </w:rPr>
        <w:br w:type="page"/>
      </w:r>
      <w:bookmarkStart w:id="5" w:name="_GoBack"/>
      <w:bookmarkEnd w:id="5"/>
    </w:p>
    <w:p w14:paraId="717F6ECD" w14:textId="2DD6F4A8" w:rsidR="00DD0B3D" w:rsidRPr="008A4886" w:rsidRDefault="00DD0B3D" w:rsidP="00DD0B3D">
      <w:pPr>
        <w:pStyle w:val="AEMCHeaderL4"/>
        <w:rPr>
          <w:rStyle w:val="Hyperlink"/>
        </w:rPr>
      </w:pPr>
      <w:r w:rsidRPr="008A4886">
        <w:rPr>
          <w:rStyle w:val="Hyperlink"/>
          <w:b/>
        </w:rPr>
        <w:lastRenderedPageBreak/>
        <w:t xml:space="preserve">CHAPTER </w:t>
      </w:r>
      <w:r w:rsidR="00DF3026">
        <w:rPr>
          <w:rStyle w:val="Hyperlink"/>
          <w:b/>
        </w:rPr>
        <w:t>5</w:t>
      </w:r>
      <w:r w:rsidRPr="008A4886">
        <w:rPr>
          <w:rStyle w:val="Hyperlink"/>
        </w:rPr>
        <w:t xml:space="preserve"> – </w:t>
      </w:r>
      <w:r>
        <w:rPr>
          <w:rStyle w:val="Hyperlink"/>
        </w:rPr>
        <w:t xml:space="preserve">sECTION </w:t>
      </w:r>
      <w:r w:rsidR="00DF3026">
        <w:rPr>
          <w:rStyle w:val="Hyperlink"/>
        </w:rPr>
        <w:t>5.</w:t>
      </w:r>
      <w:r w:rsidR="00744766">
        <w:rPr>
          <w:rStyle w:val="Hyperlink"/>
        </w:rPr>
        <w:t>2</w:t>
      </w:r>
      <w:r w:rsidR="0025621E">
        <w:rPr>
          <w:rStyle w:val="Hyperlink"/>
        </w:rPr>
        <w:t>.</w:t>
      </w:r>
      <w:r>
        <w:rPr>
          <w:rStyle w:val="Hyperlink"/>
        </w:rPr>
        <w:t xml:space="preserve"> </w:t>
      </w:r>
      <w:r w:rsidR="00F72FFE">
        <w:rPr>
          <w:rStyle w:val="Hyperlink"/>
        </w:rPr>
        <w:t>–</w:t>
      </w:r>
      <w:r>
        <w:rPr>
          <w:rStyle w:val="Hyperlink"/>
        </w:rPr>
        <w:t xml:space="preserve"> </w:t>
      </w:r>
      <w:r w:rsidR="00DF3026">
        <w:rPr>
          <w:rStyle w:val="Hyperlink"/>
        </w:rPr>
        <w:t>ISSUE MATERIALITY</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F72FFE" w:rsidRPr="00F72FFE" w14:paraId="37F2B352" w14:textId="77777777" w:rsidTr="008F6770">
        <w:trPr>
          <w:trHeight w:val="296"/>
        </w:trPr>
        <w:tc>
          <w:tcPr>
            <w:tcW w:w="14626" w:type="dxa"/>
            <w:gridSpan w:val="2"/>
            <w:tcBorders>
              <w:top w:val="single" w:sz="18" w:space="0" w:color="00A8E5" w:themeColor="accent1"/>
            </w:tcBorders>
            <w:shd w:val="clear" w:color="auto" w:fill="F6F6F6"/>
            <w:vAlign w:val="center"/>
          </w:tcPr>
          <w:p w14:paraId="40CA9CEB" w14:textId="6E0671C8" w:rsidR="00F72FFE" w:rsidRPr="0025621E" w:rsidRDefault="00F72FFE" w:rsidP="00744766">
            <w:pPr>
              <w:pStyle w:val="AEMCTableBodyCopyNumbers"/>
              <w:numPr>
                <w:ilvl w:val="0"/>
                <w:numId w:val="0"/>
              </w:numPr>
              <w:ind w:left="284" w:hanging="284"/>
              <w:rPr>
                <w:rStyle w:val="Hyperlink"/>
                <w:bCs/>
              </w:rPr>
            </w:pPr>
          </w:p>
        </w:tc>
      </w:tr>
      <w:tr w:rsidR="004E4060" w:rsidRPr="0000465F" w14:paraId="59E5C2F7" w14:textId="77777777" w:rsidTr="00744766">
        <w:trPr>
          <w:trHeight w:val="1054"/>
        </w:trPr>
        <w:tc>
          <w:tcPr>
            <w:tcW w:w="4535" w:type="dxa"/>
            <w:tcBorders>
              <w:right w:val="single" w:sz="2" w:space="0" w:color="58595B" w:themeColor="accent4"/>
            </w:tcBorders>
            <w:shd w:val="clear" w:color="auto" w:fill="F6F6F6"/>
            <w:vAlign w:val="center"/>
          </w:tcPr>
          <w:p w14:paraId="70CEBB7B" w14:textId="5FB96F69" w:rsidR="00A77C07" w:rsidRPr="00A77C07" w:rsidRDefault="00A77C07" w:rsidP="00A77C07">
            <w:pPr>
              <w:autoSpaceDE w:val="0"/>
              <w:autoSpaceDN w:val="0"/>
              <w:adjustRightInd w:val="0"/>
              <w:spacing w:line="240" w:lineRule="auto"/>
              <w:rPr>
                <w:rFonts w:ascii="HODFP N+ Tahoma" w:hAnsi="HODFP N+ Tahoma" w:cs="HODFP N+ Tahoma"/>
                <w:color w:val="262526"/>
                <w:sz w:val="22"/>
                <w:lang w:val="en-AU"/>
              </w:rPr>
            </w:pPr>
          </w:p>
          <w:p w14:paraId="74D6235B" w14:textId="6C39E5A4" w:rsidR="004E4060" w:rsidRPr="008F6770" w:rsidRDefault="00A77C07" w:rsidP="00B6777E">
            <w:pPr>
              <w:numPr>
                <w:ilvl w:val="0"/>
                <w:numId w:val="21"/>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A77C07">
              <w:rPr>
                <w:rFonts w:ascii="HODFP N+ Tahoma" w:hAnsi="HODFP N+ Tahoma" w:cs="HODFP N+ Tahoma"/>
                <w:color w:val="464646"/>
                <w:sz w:val="20"/>
                <w:szCs w:val="20"/>
                <w:lang w:val="en-AU"/>
              </w:rPr>
              <w:t xml:space="preserve">What are the </w:t>
            </w:r>
            <w:proofErr w:type="gramStart"/>
            <w:r w:rsidRPr="00A77C07">
              <w:rPr>
                <w:rFonts w:ascii="HODFP N+ Tahoma" w:hAnsi="HODFP N+ Tahoma" w:cs="HODFP N+ Tahoma"/>
                <w:color w:val="464646"/>
                <w:sz w:val="20"/>
                <w:szCs w:val="20"/>
                <w:lang w:val="en-AU"/>
              </w:rPr>
              <w:t>short and long term</w:t>
            </w:r>
            <w:proofErr w:type="gramEnd"/>
            <w:r w:rsidRPr="00A77C07">
              <w:rPr>
                <w:rFonts w:ascii="HODFP N+ Tahoma" w:hAnsi="HODFP N+ Tahoma" w:cs="HODFP N+ Tahoma"/>
                <w:color w:val="464646"/>
                <w:sz w:val="20"/>
                <w:szCs w:val="20"/>
                <w:lang w:val="en-AU"/>
              </w:rPr>
              <w:t xml:space="preserve"> impacts (financial and other) on life support customers of higher barriers for engagement in the retail market? </w:t>
            </w:r>
          </w:p>
        </w:tc>
        <w:tc>
          <w:tcPr>
            <w:tcW w:w="10091" w:type="dxa"/>
            <w:tcBorders>
              <w:left w:val="single" w:sz="2" w:space="0" w:color="58595B" w:themeColor="accent4"/>
            </w:tcBorders>
            <w:vAlign w:val="center"/>
          </w:tcPr>
          <w:p w14:paraId="561760B4" w14:textId="77777777" w:rsidR="004E4060" w:rsidRPr="00785222" w:rsidRDefault="00712806" w:rsidP="00F72FFE">
            <w:pPr>
              <w:pStyle w:val="AEMCTableBodyCopy"/>
              <w:rPr>
                <w:rStyle w:val="Hyperlink"/>
              </w:rPr>
            </w:pPr>
            <w:r w:rsidRPr="00785222">
              <w:rPr>
                <w:rStyle w:val="Hyperlink"/>
              </w:rPr>
              <w:fldChar w:fldCharType="begin">
                <w:ffData>
                  <w:name w:val="Text8"/>
                  <w:enabled/>
                  <w:calcOnExit w:val="0"/>
                  <w:textInput/>
                </w:ffData>
              </w:fldChar>
            </w:r>
            <w:bookmarkStart w:id="6" w:name="Text8"/>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6"/>
          </w:p>
        </w:tc>
      </w:tr>
      <w:tr w:rsidR="00F72FFE" w:rsidRPr="0000465F" w14:paraId="2D8E1972" w14:textId="77777777" w:rsidTr="0025621E">
        <w:trPr>
          <w:trHeight w:val="1056"/>
        </w:trPr>
        <w:tc>
          <w:tcPr>
            <w:tcW w:w="4535" w:type="dxa"/>
            <w:tcBorders>
              <w:right w:val="single" w:sz="2" w:space="0" w:color="58595B" w:themeColor="accent4"/>
            </w:tcBorders>
            <w:shd w:val="clear" w:color="auto" w:fill="F6F6F6"/>
            <w:vAlign w:val="center"/>
          </w:tcPr>
          <w:p w14:paraId="6CC90A5A" w14:textId="023B6CCE" w:rsidR="00F72FFE" w:rsidRPr="00B6777E" w:rsidRDefault="00B6777E" w:rsidP="00B6777E">
            <w:pPr>
              <w:numPr>
                <w:ilvl w:val="0"/>
                <w:numId w:val="21"/>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A77C07">
              <w:rPr>
                <w:rFonts w:ascii="HODFP N+ Tahoma" w:hAnsi="HODFP N+ Tahoma" w:cs="HODFP N+ Tahoma"/>
                <w:color w:val="464646"/>
                <w:sz w:val="20"/>
                <w:szCs w:val="20"/>
                <w:lang w:val="en-AU"/>
              </w:rPr>
              <w:t xml:space="preserve">What are stakeholder views with respect to the difficulty and costs of customers securing medical confirmation when they change premises or retailer? </w:t>
            </w:r>
          </w:p>
        </w:tc>
        <w:tc>
          <w:tcPr>
            <w:tcW w:w="10091" w:type="dxa"/>
            <w:tcBorders>
              <w:left w:val="single" w:sz="2" w:space="0" w:color="58595B" w:themeColor="accent4"/>
            </w:tcBorders>
            <w:vAlign w:val="center"/>
          </w:tcPr>
          <w:p w14:paraId="779F18FA" w14:textId="77777777" w:rsidR="00F72FFE" w:rsidRPr="00785222" w:rsidRDefault="00F72FFE" w:rsidP="00F72FFE">
            <w:pPr>
              <w:pStyle w:val="AEMCTableBodyCopy"/>
              <w:rPr>
                <w:rStyle w:val="Hyperlink"/>
              </w:rPr>
            </w:pPr>
            <w:r w:rsidRPr="00785222">
              <w:rPr>
                <w:rStyle w:val="Hyperlink"/>
              </w:rPr>
              <w:fldChar w:fldCharType="begin">
                <w:ffData>
                  <w:name w:val="Text9"/>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5621E" w:rsidRPr="0000465F" w14:paraId="7AF3732A" w14:textId="77777777" w:rsidTr="008F6770">
        <w:trPr>
          <w:trHeight w:val="1182"/>
        </w:trPr>
        <w:tc>
          <w:tcPr>
            <w:tcW w:w="4535" w:type="dxa"/>
            <w:tcBorders>
              <w:right w:val="single" w:sz="2" w:space="0" w:color="58595B" w:themeColor="accent4"/>
            </w:tcBorders>
            <w:shd w:val="clear" w:color="auto" w:fill="F6F6F6"/>
            <w:vAlign w:val="center"/>
          </w:tcPr>
          <w:p w14:paraId="24DBD716" w14:textId="69DC451F" w:rsidR="0025621E" w:rsidRPr="00B6777E" w:rsidRDefault="00B6777E" w:rsidP="00B6777E">
            <w:pPr>
              <w:numPr>
                <w:ilvl w:val="0"/>
                <w:numId w:val="21"/>
              </w:numPr>
              <w:autoSpaceDE w:val="0"/>
              <w:autoSpaceDN w:val="0"/>
              <w:adjustRightInd w:val="0"/>
              <w:spacing w:after="16" w:line="240" w:lineRule="auto"/>
              <w:ind w:left="360" w:hanging="360"/>
              <w:rPr>
                <w:rFonts w:ascii="HODFP N+ Tahoma" w:hAnsi="HODFP N+ Tahoma" w:cs="HODFP N+ Tahoma"/>
                <w:color w:val="464646"/>
                <w:sz w:val="20"/>
                <w:szCs w:val="20"/>
                <w:lang w:val="en-AU"/>
              </w:rPr>
            </w:pPr>
            <w:r w:rsidRPr="00B6777E">
              <w:rPr>
                <w:rFonts w:ascii="HODFP N+ Tahoma" w:hAnsi="HODFP N+ Tahoma" w:cs="HODFP N+ Tahoma"/>
                <w:color w:val="464646"/>
                <w:sz w:val="20"/>
                <w:szCs w:val="20"/>
                <w:lang w:val="en-AU"/>
              </w:rPr>
              <w:t>What quantitative or qualitative evidence do stakeholders have with respect to the issue raised by EWON that may clarify its materiality?</w:t>
            </w:r>
          </w:p>
        </w:tc>
        <w:tc>
          <w:tcPr>
            <w:tcW w:w="10091" w:type="dxa"/>
            <w:tcBorders>
              <w:left w:val="single" w:sz="2" w:space="0" w:color="58595B" w:themeColor="accent4"/>
            </w:tcBorders>
            <w:vAlign w:val="center"/>
          </w:tcPr>
          <w:p w14:paraId="20D73405" w14:textId="77777777" w:rsidR="0025621E" w:rsidRPr="00785222" w:rsidRDefault="0025621E" w:rsidP="00F72FFE">
            <w:pPr>
              <w:pStyle w:val="AEMCTableBodyCopy"/>
              <w:rPr>
                <w:rStyle w:val="Hyperlink"/>
              </w:rPr>
            </w:pPr>
          </w:p>
        </w:tc>
      </w:tr>
      <w:tr w:rsidR="0025621E" w:rsidRPr="0000465F" w14:paraId="7FEAB309" w14:textId="77777777" w:rsidTr="0025621E">
        <w:trPr>
          <w:trHeight w:val="1278"/>
        </w:trPr>
        <w:tc>
          <w:tcPr>
            <w:tcW w:w="4535" w:type="dxa"/>
            <w:tcBorders>
              <w:right w:val="single" w:sz="2" w:space="0" w:color="58595B" w:themeColor="accent4"/>
            </w:tcBorders>
            <w:shd w:val="clear" w:color="auto" w:fill="F6F6F6"/>
            <w:vAlign w:val="center"/>
          </w:tcPr>
          <w:p w14:paraId="4A0A9F11" w14:textId="77777777" w:rsidR="00A77C07" w:rsidRPr="00A77C07" w:rsidRDefault="00A77C07" w:rsidP="00A77C07">
            <w:pPr>
              <w:numPr>
                <w:ilvl w:val="0"/>
                <w:numId w:val="21"/>
              </w:numPr>
              <w:autoSpaceDE w:val="0"/>
              <w:autoSpaceDN w:val="0"/>
              <w:adjustRightInd w:val="0"/>
              <w:spacing w:line="240" w:lineRule="auto"/>
              <w:ind w:left="360" w:hanging="360"/>
              <w:rPr>
                <w:rFonts w:ascii="HODFP N+ Tahoma" w:hAnsi="HODFP N+ Tahoma" w:cs="HODFP N+ Tahoma"/>
                <w:color w:val="464646"/>
                <w:sz w:val="20"/>
                <w:szCs w:val="20"/>
                <w:lang w:val="en-AU"/>
              </w:rPr>
            </w:pPr>
            <w:r w:rsidRPr="00A77C07">
              <w:rPr>
                <w:rFonts w:ascii="HODFP N+ Tahoma" w:hAnsi="HODFP N+ Tahoma" w:cs="HODFP N+ Tahoma"/>
                <w:color w:val="464646"/>
                <w:sz w:val="20"/>
                <w:szCs w:val="20"/>
                <w:lang w:val="en-AU"/>
              </w:rPr>
              <w:t>Do stakeholders think there are any risks that customers may be incorrectly deregistered with switching or moving? What processes are in place to reduce any risks?</w:t>
            </w:r>
          </w:p>
          <w:p w14:paraId="1ADBD33D" w14:textId="49F7FF51" w:rsidR="0025621E" w:rsidRPr="0025621E" w:rsidRDefault="0025621E" w:rsidP="00A77C07">
            <w:pPr>
              <w:pStyle w:val="AEMCTableBodyCopyNumbers"/>
              <w:numPr>
                <w:ilvl w:val="0"/>
                <w:numId w:val="0"/>
              </w:numPr>
              <w:ind w:left="284" w:hanging="284"/>
            </w:pPr>
          </w:p>
        </w:tc>
        <w:tc>
          <w:tcPr>
            <w:tcW w:w="10091" w:type="dxa"/>
            <w:tcBorders>
              <w:left w:val="single" w:sz="2" w:space="0" w:color="58595B" w:themeColor="accent4"/>
            </w:tcBorders>
            <w:vAlign w:val="center"/>
          </w:tcPr>
          <w:p w14:paraId="7E4388F9" w14:textId="77777777" w:rsidR="0025621E" w:rsidRPr="00785222" w:rsidRDefault="0025621E" w:rsidP="00F72FFE">
            <w:pPr>
              <w:pStyle w:val="AEMCTableBodyCopy"/>
              <w:rPr>
                <w:rStyle w:val="Hyperlink"/>
              </w:rPr>
            </w:pPr>
          </w:p>
        </w:tc>
      </w:tr>
    </w:tbl>
    <w:p w14:paraId="305C22B3" w14:textId="77777777" w:rsidR="008F6770" w:rsidRDefault="008F6770" w:rsidP="0015555C">
      <w:pPr>
        <w:pStyle w:val="AEMCHeaderL4"/>
        <w:rPr>
          <w:rStyle w:val="Hyperlink"/>
          <w:b/>
        </w:rPr>
      </w:pPr>
    </w:p>
    <w:p w14:paraId="37AFE2E6" w14:textId="77777777" w:rsidR="008F6770" w:rsidRDefault="008F6770" w:rsidP="0015555C">
      <w:pPr>
        <w:pStyle w:val="AEMCHeaderL4"/>
        <w:rPr>
          <w:rStyle w:val="Hyperlink"/>
          <w:b/>
        </w:rPr>
      </w:pPr>
    </w:p>
    <w:p w14:paraId="3128402B" w14:textId="77777777" w:rsidR="008F6770" w:rsidRDefault="008F6770" w:rsidP="0015555C">
      <w:pPr>
        <w:pStyle w:val="AEMCHeaderL4"/>
        <w:rPr>
          <w:rStyle w:val="Hyperlink"/>
          <w:b/>
        </w:rPr>
      </w:pPr>
    </w:p>
    <w:p w14:paraId="5BF5185E" w14:textId="77777777" w:rsidR="008F6770" w:rsidRDefault="008F6770" w:rsidP="0015555C">
      <w:pPr>
        <w:pStyle w:val="AEMCHeaderL4"/>
        <w:rPr>
          <w:rStyle w:val="Hyperlink"/>
          <w:b/>
        </w:rPr>
      </w:pPr>
    </w:p>
    <w:p w14:paraId="517C4A8D" w14:textId="79D2E221" w:rsidR="0015555C" w:rsidRDefault="0015555C" w:rsidP="0015555C">
      <w:pPr>
        <w:pStyle w:val="AEMCHeaderL4"/>
        <w:rPr>
          <w:rStyle w:val="Hyperlink"/>
        </w:rPr>
      </w:pPr>
      <w:r w:rsidRPr="0015555C">
        <w:rPr>
          <w:rStyle w:val="Hyperlink"/>
          <w:b/>
        </w:rPr>
        <w:lastRenderedPageBreak/>
        <w:t xml:space="preserve">CHAPTER </w:t>
      </w:r>
      <w:r w:rsidR="008F6770">
        <w:rPr>
          <w:rStyle w:val="Hyperlink"/>
          <w:b/>
        </w:rPr>
        <w:t>5</w:t>
      </w:r>
      <w:r>
        <w:rPr>
          <w:rStyle w:val="Hyperlink"/>
        </w:rPr>
        <w:t xml:space="preserve"> – </w:t>
      </w:r>
      <w:r w:rsidR="00DD0B3D">
        <w:rPr>
          <w:rStyle w:val="Hyperlink"/>
        </w:rPr>
        <w:t xml:space="preserve">sECTION </w:t>
      </w:r>
      <w:r w:rsidR="008F6770">
        <w:rPr>
          <w:rStyle w:val="Hyperlink"/>
        </w:rPr>
        <w:t>5</w:t>
      </w:r>
      <w:r w:rsidR="00F72FFE">
        <w:rPr>
          <w:rStyle w:val="Hyperlink"/>
        </w:rPr>
        <w:t>.</w:t>
      </w:r>
      <w:r w:rsidR="008F6770">
        <w:rPr>
          <w:rStyle w:val="Hyperlink"/>
        </w:rPr>
        <w:t xml:space="preserve">3 </w:t>
      </w:r>
      <w:r w:rsidR="00F72FFE">
        <w:rPr>
          <w:rStyle w:val="Hyperlink"/>
        </w:rPr>
        <w:t>–</w:t>
      </w:r>
      <w:r w:rsidR="00DD0B3D">
        <w:rPr>
          <w:rStyle w:val="Hyperlink"/>
        </w:rPr>
        <w:t xml:space="preserve"> </w:t>
      </w:r>
      <w:r w:rsidR="008F6770">
        <w:rPr>
          <w:rStyle w:val="Hyperlink"/>
        </w:rPr>
        <w:t>PROPOSED SOLUTIONS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F72FFE" w:rsidRPr="0000465F" w14:paraId="747A0523" w14:textId="77777777" w:rsidTr="002C1DEC">
        <w:trPr>
          <w:trHeight w:val="154"/>
        </w:trPr>
        <w:tc>
          <w:tcPr>
            <w:tcW w:w="14626" w:type="dxa"/>
            <w:gridSpan w:val="2"/>
            <w:tcBorders>
              <w:top w:val="single" w:sz="18" w:space="0" w:color="00A8E5" w:themeColor="accent1"/>
            </w:tcBorders>
            <w:shd w:val="clear" w:color="auto" w:fill="F6F6F6"/>
            <w:vAlign w:val="center"/>
          </w:tcPr>
          <w:p w14:paraId="2844DA5E" w14:textId="6FA92CE5" w:rsidR="00F72FFE" w:rsidRPr="00F72FFE" w:rsidRDefault="00F72FFE" w:rsidP="00F72FFE">
            <w:pPr>
              <w:pStyle w:val="AEMCTableBodyCopy"/>
              <w:rPr>
                <w:rStyle w:val="Hyperlink"/>
                <w:b/>
              </w:rPr>
            </w:pPr>
          </w:p>
        </w:tc>
      </w:tr>
      <w:tr w:rsidR="0015555C" w:rsidRPr="0000465F" w14:paraId="70E2CF58" w14:textId="77777777" w:rsidTr="002C1DEC">
        <w:trPr>
          <w:trHeight w:val="1079"/>
        </w:trPr>
        <w:tc>
          <w:tcPr>
            <w:tcW w:w="4535" w:type="dxa"/>
            <w:tcBorders>
              <w:right w:val="single" w:sz="2" w:space="0" w:color="58595B" w:themeColor="accent4"/>
            </w:tcBorders>
            <w:shd w:val="clear" w:color="auto" w:fill="F6F6F6"/>
            <w:vAlign w:val="center"/>
          </w:tcPr>
          <w:p w14:paraId="08240A60" w14:textId="3AB0F9DA" w:rsidR="0015555C" w:rsidRPr="00717FEF" w:rsidRDefault="00717FEF" w:rsidP="00717FEF">
            <w:pPr>
              <w:numPr>
                <w:ilvl w:val="0"/>
                <w:numId w:val="22"/>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717FEF">
              <w:rPr>
                <w:rFonts w:ascii="HODFP N+ Tahoma" w:hAnsi="HODFP N+ Tahoma" w:cs="HODFP N+ Tahoma"/>
                <w:color w:val="464646"/>
                <w:sz w:val="20"/>
                <w:szCs w:val="20"/>
                <w:lang w:val="en-AU"/>
              </w:rPr>
              <w:t xml:space="preserve">What are stakeholder views on sharing of medical confirmation forms between businesses as proposed by EWON? Would this solution address the issue raised by EWON? </w:t>
            </w:r>
          </w:p>
        </w:tc>
        <w:tc>
          <w:tcPr>
            <w:tcW w:w="10091" w:type="dxa"/>
            <w:tcBorders>
              <w:left w:val="single" w:sz="2" w:space="0" w:color="58595B" w:themeColor="accent4"/>
            </w:tcBorders>
            <w:vAlign w:val="center"/>
          </w:tcPr>
          <w:p w14:paraId="69AEC5B0" w14:textId="77777777" w:rsidR="0015555C" w:rsidRPr="00785222" w:rsidRDefault="00712806" w:rsidP="00F72FFE">
            <w:pPr>
              <w:pStyle w:val="AEMCTableBodyCopy"/>
              <w:rPr>
                <w:rStyle w:val="Hyperlink"/>
              </w:rPr>
            </w:pPr>
            <w:r w:rsidRPr="00785222">
              <w:rPr>
                <w:rStyle w:val="Hyperlink"/>
              </w:rPr>
              <w:fldChar w:fldCharType="begin">
                <w:ffData>
                  <w:name w:val="Text14"/>
                  <w:enabled/>
                  <w:calcOnExit w:val="0"/>
                  <w:textInput/>
                </w:ffData>
              </w:fldChar>
            </w:r>
            <w:bookmarkStart w:id="7" w:name="Text1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7"/>
          </w:p>
        </w:tc>
      </w:tr>
      <w:tr w:rsidR="0015555C" w:rsidRPr="0000465F" w14:paraId="783DA5B9" w14:textId="77777777" w:rsidTr="00F72FFE">
        <w:trPr>
          <w:trHeight w:val="850"/>
        </w:trPr>
        <w:tc>
          <w:tcPr>
            <w:tcW w:w="4535" w:type="dxa"/>
            <w:tcBorders>
              <w:right w:val="single" w:sz="2" w:space="0" w:color="58595B" w:themeColor="accent4"/>
            </w:tcBorders>
            <w:shd w:val="clear" w:color="auto" w:fill="F6F6F6"/>
            <w:vAlign w:val="center"/>
          </w:tcPr>
          <w:p w14:paraId="48395E13" w14:textId="03EB4B67" w:rsidR="0015555C" w:rsidRPr="00717FEF" w:rsidRDefault="00717FEF" w:rsidP="00717FEF">
            <w:pPr>
              <w:numPr>
                <w:ilvl w:val="0"/>
                <w:numId w:val="22"/>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717FEF">
              <w:rPr>
                <w:rFonts w:ascii="HODFP N+ Tahoma" w:hAnsi="HODFP N+ Tahoma" w:cs="HODFP N+ Tahoma"/>
                <w:color w:val="464646"/>
                <w:sz w:val="20"/>
                <w:szCs w:val="20"/>
                <w:lang w:val="en-AU"/>
              </w:rPr>
              <w:t>What are the costs and benefits of the solution proposed by EWON?</w:t>
            </w:r>
          </w:p>
        </w:tc>
        <w:tc>
          <w:tcPr>
            <w:tcW w:w="10091" w:type="dxa"/>
            <w:tcBorders>
              <w:left w:val="single" w:sz="2" w:space="0" w:color="58595B" w:themeColor="accent4"/>
            </w:tcBorders>
            <w:vAlign w:val="center"/>
          </w:tcPr>
          <w:p w14:paraId="5BDAE986" w14:textId="77777777" w:rsidR="0015555C" w:rsidRPr="00785222" w:rsidRDefault="00712806" w:rsidP="00F72FFE">
            <w:pPr>
              <w:pStyle w:val="AEMCTableBodyCopy"/>
              <w:rPr>
                <w:rStyle w:val="Hyperlink"/>
              </w:rPr>
            </w:pPr>
            <w:r w:rsidRPr="00785222">
              <w:rPr>
                <w:rStyle w:val="Hyperlink"/>
              </w:rPr>
              <w:fldChar w:fldCharType="begin">
                <w:ffData>
                  <w:name w:val="Text15"/>
                  <w:enabled/>
                  <w:calcOnExit w:val="0"/>
                  <w:textInput/>
                </w:ffData>
              </w:fldChar>
            </w:r>
            <w:bookmarkStart w:id="8" w:name="Text15"/>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8"/>
          </w:p>
        </w:tc>
      </w:tr>
      <w:tr w:rsidR="006A0359" w:rsidRPr="0000465F" w14:paraId="07E7CBDA" w14:textId="77777777" w:rsidTr="00F72FFE">
        <w:trPr>
          <w:trHeight w:val="850"/>
        </w:trPr>
        <w:tc>
          <w:tcPr>
            <w:tcW w:w="4535" w:type="dxa"/>
            <w:tcBorders>
              <w:right w:val="single" w:sz="2" w:space="0" w:color="58595B" w:themeColor="accent4"/>
            </w:tcBorders>
            <w:shd w:val="clear" w:color="auto" w:fill="F6F6F6"/>
            <w:vAlign w:val="center"/>
          </w:tcPr>
          <w:p w14:paraId="52D3469A" w14:textId="5E6F2A18" w:rsidR="006A0359" w:rsidRPr="00717FEF" w:rsidRDefault="00717FEF" w:rsidP="00717FEF">
            <w:pPr>
              <w:numPr>
                <w:ilvl w:val="0"/>
                <w:numId w:val="22"/>
              </w:numPr>
              <w:autoSpaceDE w:val="0"/>
              <w:autoSpaceDN w:val="0"/>
              <w:adjustRightInd w:val="0"/>
              <w:spacing w:after="16" w:line="240" w:lineRule="auto"/>
              <w:ind w:left="360" w:hanging="360"/>
              <w:rPr>
                <w:rFonts w:ascii="HODFP N+ Tahoma" w:hAnsi="HODFP N+ Tahoma" w:cs="HODFP N+ Tahoma"/>
                <w:color w:val="464646"/>
                <w:sz w:val="20"/>
                <w:szCs w:val="20"/>
                <w:lang w:val="en-AU"/>
              </w:rPr>
            </w:pPr>
            <w:r w:rsidRPr="00717FEF">
              <w:rPr>
                <w:rFonts w:ascii="HODFP N+ Tahoma" w:hAnsi="HODFP N+ Tahoma" w:cs="HODFP N+ Tahoma"/>
                <w:color w:val="464646"/>
                <w:sz w:val="20"/>
                <w:szCs w:val="20"/>
                <w:lang w:val="en-AU"/>
              </w:rPr>
              <w:t xml:space="preserve">What life support information should be shared between businesses as part of EWON's solution? How could this information be most efficiently shared? </w:t>
            </w:r>
          </w:p>
        </w:tc>
        <w:tc>
          <w:tcPr>
            <w:tcW w:w="10091" w:type="dxa"/>
            <w:tcBorders>
              <w:left w:val="single" w:sz="2" w:space="0" w:color="58595B" w:themeColor="accent4"/>
            </w:tcBorders>
            <w:vAlign w:val="center"/>
          </w:tcPr>
          <w:p w14:paraId="0E4854BF" w14:textId="77777777" w:rsidR="006A0359" w:rsidRPr="00785222" w:rsidRDefault="006A0359" w:rsidP="00F72FFE">
            <w:pPr>
              <w:pStyle w:val="AEMCTableBodyCopy"/>
              <w:rPr>
                <w:rStyle w:val="Hyperlink"/>
              </w:rPr>
            </w:pPr>
          </w:p>
        </w:tc>
      </w:tr>
      <w:tr w:rsidR="006A0359" w:rsidRPr="0000465F" w14:paraId="0545D75D" w14:textId="77777777" w:rsidTr="00F72FFE">
        <w:trPr>
          <w:trHeight w:val="850"/>
        </w:trPr>
        <w:tc>
          <w:tcPr>
            <w:tcW w:w="4535" w:type="dxa"/>
            <w:tcBorders>
              <w:right w:val="single" w:sz="2" w:space="0" w:color="58595B" w:themeColor="accent4"/>
            </w:tcBorders>
            <w:shd w:val="clear" w:color="auto" w:fill="F6F6F6"/>
            <w:vAlign w:val="center"/>
          </w:tcPr>
          <w:p w14:paraId="2CE6081D" w14:textId="4D732474" w:rsidR="006A0359" w:rsidRPr="00717FEF" w:rsidRDefault="00717FEF" w:rsidP="00717FEF">
            <w:pPr>
              <w:numPr>
                <w:ilvl w:val="0"/>
                <w:numId w:val="22"/>
              </w:numPr>
              <w:autoSpaceDE w:val="0"/>
              <w:autoSpaceDN w:val="0"/>
              <w:adjustRightInd w:val="0"/>
              <w:spacing w:after="16" w:line="240" w:lineRule="auto"/>
              <w:ind w:left="360" w:hanging="360"/>
              <w:rPr>
                <w:rFonts w:ascii="HODFP N+ Tahoma" w:hAnsi="HODFP N+ Tahoma" w:cs="HODFP N+ Tahoma"/>
                <w:color w:val="464646"/>
                <w:sz w:val="20"/>
                <w:szCs w:val="20"/>
                <w:lang w:val="en-AU"/>
              </w:rPr>
            </w:pPr>
            <w:r w:rsidRPr="00717FEF">
              <w:rPr>
                <w:rFonts w:ascii="HODFP N+ Tahoma" w:hAnsi="HODFP N+ Tahoma" w:cs="HODFP N+ Tahoma"/>
                <w:color w:val="464646"/>
                <w:sz w:val="20"/>
                <w:szCs w:val="20"/>
                <w:lang w:val="en-AU"/>
              </w:rPr>
              <w:t xml:space="preserve">What are stakeholder views on the two alternative pathways proposed by EWON? Would these address the issue raised by EWON? </w:t>
            </w:r>
          </w:p>
        </w:tc>
        <w:tc>
          <w:tcPr>
            <w:tcW w:w="10091" w:type="dxa"/>
            <w:tcBorders>
              <w:left w:val="single" w:sz="2" w:space="0" w:color="58595B" w:themeColor="accent4"/>
            </w:tcBorders>
            <w:vAlign w:val="center"/>
          </w:tcPr>
          <w:p w14:paraId="0FD1F8E3" w14:textId="77777777" w:rsidR="006A0359" w:rsidRPr="00785222" w:rsidRDefault="006A0359" w:rsidP="00F72FFE">
            <w:pPr>
              <w:pStyle w:val="AEMCTableBodyCopy"/>
              <w:rPr>
                <w:rStyle w:val="Hyperlink"/>
              </w:rPr>
            </w:pPr>
          </w:p>
        </w:tc>
      </w:tr>
      <w:tr w:rsidR="006A0359" w:rsidRPr="0000465F" w14:paraId="0A0C69F0" w14:textId="77777777" w:rsidTr="00F72FFE">
        <w:trPr>
          <w:trHeight w:val="850"/>
        </w:trPr>
        <w:tc>
          <w:tcPr>
            <w:tcW w:w="4535" w:type="dxa"/>
            <w:tcBorders>
              <w:right w:val="single" w:sz="2" w:space="0" w:color="58595B" w:themeColor="accent4"/>
            </w:tcBorders>
            <w:shd w:val="clear" w:color="auto" w:fill="F6F6F6"/>
            <w:vAlign w:val="center"/>
          </w:tcPr>
          <w:p w14:paraId="71249761" w14:textId="16F398C6" w:rsidR="006A0359" w:rsidRPr="00717FEF" w:rsidRDefault="00717FEF" w:rsidP="00717FEF">
            <w:pPr>
              <w:numPr>
                <w:ilvl w:val="0"/>
                <w:numId w:val="22"/>
              </w:numPr>
              <w:autoSpaceDE w:val="0"/>
              <w:autoSpaceDN w:val="0"/>
              <w:adjustRightInd w:val="0"/>
              <w:spacing w:line="240" w:lineRule="auto"/>
              <w:ind w:left="360" w:hanging="360"/>
              <w:rPr>
                <w:rFonts w:ascii="HODFP N+ Tahoma" w:hAnsi="HODFP N+ Tahoma" w:cs="HODFP N+ Tahoma"/>
                <w:color w:val="464646"/>
                <w:sz w:val="20"/>
                <w:szCs w:val="20"/>
                <w:lang w:val="en-AU"/>
              </w:rPr>
            </w:pPr>
            <w:r w:rsidRPr="00717FEF">
              <w:rPr>
                <w:rFonts w:ascii="HODFP N+ Tahoma" w:hAnsi="HODFP N+ Tahoma" w:cs="HODFP N+ Tahoma"/>
                <w:color w:val="464646"/>
                <w:sz w:val="20"/>
                <w:szCs w:val="20"/>
                <w:lang w:val="en-AU"/>
              </w:rPr>
              <w:t xml:space="preserve">Are there additional solutions that the Commission should consider to in order to address the issue? </w:t>
            </w:r>
          </w:p>
        </w:tc>
        <w:tc>
          <w:tcPr>
            <w:tcW w:w="10091" w:type="dxa"/>
            <w:tcBorders>
              <w:left w:val="single" w:sz="2" w:space="0" w:color="58595B" w:themeColor="accent4"/>
            </w:tcBorders>
            <w:vAlign w:val="center"/>
          </w:tcPr>
          <w:p w14:paraId="23D052FD" w14:textId="77777777" w:rsidR="006A0359" w:rsidRPr="00785222" w:rsidRDefault="006A0359" w:rsidP="00F72FFE">
            <w:pPr>
              <w:pStyle w:val="AEMCTableBodyCopy"/>
              <w:rPr>
                <w:rStyle w:val="Hyperlink"/>
              </w:rPr>
            </w:pPr>
          </w:p>
        </w:tc>
      </w:tr>
    </w:tbl>
    <w:p w14:paraId="3F4E14D5" w14:textId="418B1EA1" w:rsidR="00D17ED4" w:rsidRDefault="00D17ED4" w:rsidP="00D17ED4">
      <w:pPr>
        <w:pStyle w:val="AEMCBodyCopy"/>
        <w:rPr>
          <w:rStyle w:val="Hyperlink"/>
          <w:b/>
        </w:rPr>
      </w:pPr>
    </w:p>
    <w:p w14:paraId="3AA8784E" w14:textId="77777777" w:rsidR="0025621E" w:rsidRDefault="00D17ED4">
      <w:pPr>
        <w:spacing w:line="259" w:lineRule="auto"/>
        <w:rPr>
          <w:rStyle w:val="Hyperlink"/>
          <w:b/>
        </w:rPr>
      </w:pPr>
      <w:r>
        <w:rPr>
          <w:rStyle w:val="Hyperlink"/>
          <w:b/>
        </w:rPr>
        <w:br w:type="page"/>
      </w:r>
    </w:p>
    <w:p w14:paraId="39BCE0AB" w14:textId="0B4C8061" w:rsidR="005E0B40" w:rsidRDefault="005E0B40" w:rsidP="005E0B40">
      <w:pPr>
        <w:pStyle w:val="AEMCHeaderL4"/>
        <w:rPr>
          <w:rStyle w:val="Hyperlink"/>
        </w:rPr>
      </w:pPr>
      <w:r w:rsidRPr="0015555C">
        <w:rPr>
          <w:rStyle w:val="Hyperlink"/>
          <w:b/>
        </w:rPr>
        <w:lastRenderedPageBreak/>
        <w:t xml:space="preserve">CHAPTER </w:t>
      </w:r>
      <w:r w:rsidR="002C1DEC">
        <w:rPr>
          <w:rStyle w:val="Hyperlink"/>
          <w:b/>
        </w:rPr>
        <w:t>5</w:t>
      </w:r>
      <w:r>
        <w:rPr>
          <w:rStyle w:val="Hyperlink"/>
        </w:rPr>
        <w:t xml:space="preserve"> – sECTION </w:t>
      </w:r>
      <w:r w:rsidR="002C1DEC">
        <w:rPr>
          <w:rStyle w:val="Hyperlink"/>
        </w:rPr>
        <w:t>5.</w:t>
      </w:r>
      <w:r>
        <w:rPr>
          <w:rStyle w:val="Hyperlink"/>
        </w:rPr>
        <w:t>4 –</w:t>
      </w:r>
      <w:r w:rsidR="003041F5">
        <w:rPr>
          <w:rStyle w:val="Hyperlink"/>
        </w:rPr>
        <w:t xml:space="preserve"> IMPLEmentation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5E0B40" w:rsidRPr="0000465F" w14:paraId="15577DD6" w14:textId="77777777" w:rsidTr="003041F5">
        <w:trPr>
          <w:trHeight w:val="296"/>
        </w:trPr>
        <w:tc>
          <w:tcPr>
            <w:tcW w:w="14626" w:type="dxa"/>
            <w:gridSpan w:val="2"/>
            <w:tcBorders>
              <w:top w:val="single" w:sz="18" w:space="0" w:color="00A8E5" w:themeColor="accent1"/>
            </w:tcBorders>
            <w:shd w:val="clear" w:color="auto" w:fill="F6F6F6"/>
            <w:vAlign w:val="center"/>
          </w:tcPr>
          <w:p w14:paraId="1E03DD8F" w14:textId="10E5B261" w:rsidR="005E0B40" w:rsidRPr="00F72FFE" w:rsidRDefault="005E0B40" w:rsidP="000E02A8">
            <w:pPr>
              <w:pStyle w:val="AEMCTableBodyCopy"/>
              <w:rPr>
                <w:rStyle w:val="Hyperlink"/>
                <w:b/>
              </w:rPr>
            </w:pPr>
          </w:p>
        </w:tc>
      </w:tr>
      <w:tr w:rsidR="005E0B40" w:rsidRPr="0000465F" w14:paraId="36139C3F" w14:textId="77777777" w:rsidTr="00072B5F">
        <w:trPr>
          <w:trHeight w:val="1363"/>
        </w:trPr>
        <w:tc>
          <w:tcPr>
            <w:tcW w:w="4535" w:type="dxa"/>
            <w:tcBorders>
              <w:right w:val="single" w:sz="2" w:space="0" w:color="58595B" w:themeColor="accent4"/>
            </w:tcBorders>
            <w:shd w:val="clear" w:color="auto" w:fill="F6F6F6"/>
            <w:vAlign w:val="center"/>
          </w:tcPr>
          <w:p w14:paraId="588327C6" w14:textId="49710119" w:rsidR="005E0B40" w:rsidRPr="00072B5F" w:rsidRDefault="00072B5F" w:rsidP="00072B5F">
            <w:pPr>
              <w:numPr>
                <w:ilvl w:val="0"/>
                <w:numId w:val="23"/>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072B5F">
              <w:rPr>
                <w:rFonts w:ascii="HODFP N+ Tahoma" w:hAnsi="HODFP N+ Tahoma" w:cs="HODFP N+ Tahoma"/>
                <w:color w:val="464646"/>
                <w:sz w:val="20"/>
                <w:szCs w:val="20"/>
                <w:lang w:val="en-AU"/>
              </w:rPr>
              <w:t>What are the system and policy changes required for each of EWON's proposed solutions to be implemented? What are the potential costs and benefits of these changes</w:t>
            </w:r>
            <w:r>
              <w:rPr>
                <w:rFonts w:ascii="HODFP N+ Tahoma" w:hAnsi="HODFP N+ Tahoma" w:cs="HODFP N+ Tahoma"/>
                <w:color w:val="464646"/>
                <w:sz w:val="20"/>
                <w:szCs w:val="20"/>
                <w:lang w:val="en-AU"/>
              </w:rPr>
              <w:t>?</w:t>
            </w:r>
          </w:p>
        </w:tc>
        <w:tc>
          <w:tcPr>
            <w:tcW w:w="10091" w:type="dxa"/>
            <w:tcBorders>
              <w:left w:val="single" w:sz="2" w:space="0" w:color="58595B" w:themeColor="accent4"/>
            </w:tcBorders>
            <w:vAlign w:val="center"/>
          </w:tcPr>
          <w:p w14:paraId="3A99B723" w14:textId="77777777" w:rsidR="005E0B40" w:rsidRPr="00785222" w:rsidRDefault="005E0B40" w:rsidP="000E02A8">
            <w:pPr>
              <w:pStyle w:val="AEMCTableBodyCopy"/>
              <w:rPr>
                <w:rStyle w:val="Hyperlink"/>
              </w:rPr>
            </w:pPr>
            <w:r w:rsidRPr="00785222">
              <w:rPr>
                <w:rStyle w:val="Hyperlink"/>
              </w:rPr>
              <w:fldChar w:fldCharType="begin">
                <w:ffData>
                  <w:name w:val="Text14"/>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5E0B40" w:rsidRPr="0000465F" w14:paraId="747464E4" w14:textId="77777777" w:rsidTr="000E02A8">
        <w:trPr>
          <w:trHeight w:val="850"/>
        </w:trPr>
        <w:tc>
          <w:tcPr>
            <w:tcW w:w="4535" w:type="dxa"/>
            <w:tcBorders>
              <w:right w:val="single" w:sz="2" w:space="0" w:color="58595B" w:themeColor="accent4"/>
            </w:tcBorders>
            <w:shd w:val="clear" w:color="auto" w:fill="F6F6F6"/>
            <w:vAlign w:val="center"/>
          </w:tcPr>
          <w:p w14:paraId="295DF142" w14:textId="744CAD8B" w:rsidR="005E0B40" w:rsidRPr="00072B5F" w:rsidRDefault="00072B5F" w:rsidP="00072B5F">
            <w:pPr>
              <w:numPr>
                <w:ilvl w:val="0"/>
                <w:numId w:val="23"/>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072B5F">
              <w:rPr>
                <w:rFonts w:ascii="HODFP N+ Tahoma" w:hAnsi="HODFP N+ Tahoma" w:cs="HODFP N+ Tahoma"/>
                <w:color w:val="464646"/>
                <w:sz w:val="20"/>
                <w:szCs w:val="20"/>
                <w:lang w:val="en-AU"/>
              </w:rPr>
              <w:t>What are the potential privacy issues related to EWON's proposed solution? How could those privacy issues be overcome?</w:t>
            </w:r>
          </w:p>
        </w:tc>
        <w:tc>
          <w:tcPr>
            <w:tcW w:w="10091" w:type="dxa"/>
            <w:tcBorders>
              <w:left w:val="single" w:sz="2" w:space="0" w:color="58595B" w:themeColor="accent4"/>
            </w:tcBorders>
            <w:vAlign w:val="center"/>
          </w:tcPr>
          <w:p w14:paraId="13FD38B0" w14:textId="77777777" w:rsidR="005E0B40" w:rsidRPr="00785222" w:rsidRDefault="005E0B40" w:rsidP="000E02A8">
            <w:pPr>
              <w:pStyle w:val="AEMCTableBodyCopy"/>
              <w:rPr>
                <w:rStyle w:val="Hyperlink"/>
              </w:rPr>
            </w:pPr>
            <w:r w:rsidRPr="00785222">
              <w:rPr>
                <w:rStyle w:val="Hyperlink"/>
              </w:rPr>
              <w:fldChar w:fldCharType="begin">
                <w:ffData>
                  <w:name w:val="Text1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041F5" w:rsidRPr="0000465F" w14:paraId="0EA91613" w14:textId="77777777" w:rsidTr="000E02A8">
        <w:trPr>
          <w:trHeight w:val="850"/>
        </w:trPr>
        <w:tc>
          <w:tcPr>
            <w:tcW w:w="4535" w:type="dxa"/>
            <w:tcBorders>
              <w:right w:val="single" w:sz="2" w:space="0" w:color="58595B" w:themeColor="accent4"/>
            </w:tcBorders>
            <w:shd w:val="clear" w:color="auto" w:fill="F6F6F6"/>
            <w:vAlign w:val="center"/>
          </w:tcPr>
          <w:p w14:paraId="7120791C" w14:textId="3F9C2B80" w:rsidR="003041F5" w:rsidRPr="00072B5F" w:rsidRDefault="00072B5F" w:rsidP="00072B5F">
            <w:pPr>
              <w:numPr>
                <w:ilvl w:val="0"/>
                <w:numId w:val="23"/>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072B5F">
              <w:rPr>
                <w:rFonts w:ascii="HODFP N+ Tahoma" w:hAnsi="HODFP N+ Tahoma" w:cs="HODFP N+ Tahoma"/>
                <w:color w:val="464646"/>
                <w:sz w:val="20"/>
                <w:szCs w:val="20"/>
                <w:lang w:val="en-AU"/>
              </w:rPr>
              <w:t xml:space="preserve">What are stakeholder views on the compatibility of forms currently used by retailers and distributors between other retailers and </w:t>
            </w:r>
            <w:proofErr w:type="gramStart"/>
            <w:r w:rsidRPr="00072B5F">
              <w:rPr>
                <w:rFonts w:ascii="HODFP N+ Tahoma" w:hAnsi="HODFP N+ Tahoma" w:cs="HODFP N+ Tahoma"/>
                <w:color w:val="464646"/>
                <w:sz w:val="20"/>
                <w:szCs w:val="20"/>
                <w:lang w:val="en-AU"/>
              </w:rPr>
              <w:t>distributors ?</w:t>
            </w:r>
            <w:proofErr w:type="gramEnd"/>
            <w:r w:rsidRPr="00072B5F">
              <w:rPr>
                <w:rFonts w:ascii="HODFP N+ Tahoma" w:hAnsi="HODFP N+ Tahoma" w:cs="HODFP N+ Tahoma"/>
                <w:color w:val="464646"/>
                <w:sz w:val="20"/>
                <w:szCs w:val="20"/>
                <w:lang w:val="en-AU"/>
              </w:rPr>
              <w:t xml:space="preserve"> Would these forms be mutually acceptable to businesses?</w:t>
            </w:r>
          </w:p>
        </w:tc>
        <w:tc>
          <w:tcPr>
            <w:tcW w:w="10091" w:type="dxa"/>
            <w:tcBorders>
              <w:left w:val="single" w:sz="2" w:space="0" w:color="58595B" w:themeColor="accent4"/>
            </w:tcBorders>
            <w:vAlign w:val="center"/>
          </w:tcPr>
          <w:p w14:paraId="05D31A6A" w14:textId="77777777" w:rsidR="003041F5" w:rsidRPr="00785222" w:rsidRDefault="003041F5" w:rsidP="000E02A8">
            <w:pPr>
              <w:pStyle w:val="AEMCTableBodyCopy"/>
              <w:rPr>
                <w:rStyle w:val="Hyperlink"/>
              </w:rPr>
            </w:pPr>
          </w:p>
        </w:tc>
      </w:tr>
      <w:tr w:rsidR="003041F5" w:rsidRPr="0000465F" w14:paraId="26169A2D" w14:textId="77777777" w:rsidTr="000E02A8">
        <w:trPr>
          <w:trHeight w:val="850"/>
        </w:trPr>
        <w:tc>
          <w:tcPr>
            <w:tcW w:w="4535" w:type="dxa"/>
            <w:tcBorders>
              <w:right w:val="single" w:sz="2" w:space="0" w:color="58595B" w:themeColor="accent4"/>
            </w:tcBorders>
            <w:shd w:val="clear" w:color="auto" w:fill="F6F6F6"/>
            <w:vAlign w:val="center"/>
          </w:tcPr>
          <w:p w14:paraId="7E7629A3" w14:textId="0EC25349" w:rsidR="003041F5" w:rsidRPr="00072B5F" w:rsidRDefault="00072B5F" w:rsidP="00072B5F">
            <w:pPr>
              <w:numPr>
                <w:ilvl w:val="0"/>
                <w:numId w:val="23"/>
              </w:numPr>
              <w:autoSpaceDE w:val="0"/>
              <w:autoSpaceDN w:val="0"/>
              <w:adjustRightInd w:val="0"/>
              <w:spacing w:after="16" w:line="240" w:lineRule="auto"/>
              <w:ind w:left="360" w:hanging="360"/>
              <w:rPr>
                <w:rStyle w:val="Hyperlink"/>
                <w:rFonts w:ascii="HODFP N+ Tahoma" w:hAnsi="HODFP N+ Tahoma" w:cs="HODFP N+ Tahoma"/>
                <w:color w:val="464646"/>
                <w:sz w:val="20"/>
                <w:szCs w:val="20"/>
                <w:lang w:val="en-AU"/>
              </w:rPr>
            </w:pPr>
            <w:r w:rsidRPr="00072B5F">
              <w:rPr>
                <w:rFonts w:ascii="HODFP N+ Tahoma" w:hAnsi="HODFP N+ Tahoma" w:cs="HODFP N+ Tahoma"/>
                <w:color w:val="464646"/>
                <w:sz w:val="20"/>
                <w:szCs w:val="20"/>
                <w:lang w:val="en-AU"/>
              </w:rPr>
              <w:t xml:space="preserve">Are there any other issues the Commission should consider in relation to sharing life support information? </w:t>
            </w:r>
          </w:p>
        </w:tc>
        <w:tc>
          <w:tcPr>
            <w:tcW w:w="10091" w:type="dxa"/>
            <w:tcBorders>
              <w:left w:val="single" w:sz="2" w:space="0" w:color="58595B" w:themeColor="accent4"/>
            </w:tcBorders>
            <w:vAlign w:val="center"/>
          </w:tcPr>
          <w:p w14:paraId="162860CF" w14:textId="77777777" w:rsidR="003041F5" w:rsidRPr="00785222" w:rsidRDefault="003041F5" w:rsidP="000E02A8">
            <w:pPr>
              <w:pStyle w:val="AEMCTableBodyCopy"/>
              <w:rPr>
                <w:rStyle w:val="Hyperlink"/>
              </w:rPr>
            </w:pPr>
          </w:p>
        </w:tc>
      </w:tr>
      <w:tr w:rsidR="003041F5" w:rsidRPr="0000465F" w14:paraId="12F9935F" w14:textId="77777777" w:rsidTr="000E02A8">
        <w:trPr>
          <w:trHeight w:val="850"/>
        </w:trPr>
        <w:tc>
          <w:tcPr>
            <w:tcW w:w="4535" w:type="dxa"/>
            <w:tcBorders>
              <w:right w:val="single" w:sz="2" w:space="0" w:color="58595B" w:themeColor="accent4"/>
            </w:tcBorders>
            <w:shd w:val="clear" w:color="auto" w:fill="F6F6F6"/>
            <w:vAlign w:val="center"/>
          </w:tcPr>
          <w:p w14:paraId="7072A308" w14:textId="43279676" w:rsidR="003041F5" w:rsidRPr="00072B5F" w:rsidRDefault="00072B5F" w:rsidP="00072B5F">
            <w:pPr>
              <w:numPr>
                <w:ilvl w:val="0"/>
                <w:numId w:val="23"/>
              </w:numPr>
              <w:autoSpaceDE w:val="0"/>
              <w:autoSpaceDN w:val="0"/>
              <w:adjustRightInd w:val="0"/>
              <w:spacing w:line="240" w:lineRule="auto"/>
              <w:ind w:left="360" w:hanging="360"/>
              <w:rPr>
                <w:rStyle w:val="Hyperlink"/>
                <w:rFonts w:ascii="HODFP N+ Tahoma" w:hAnsi="HODFP N+ Tahoma" w:cs="HODFP N+ Tahoma"/>
                <w:color w:val="464646"/>
                <w:sz w:val="20"/>
                <w:szCs w:val="20"/>
                <w:lang w:val="en-AU"/>
              </w:rPr>
            </w:pPr>
            <w:r w:rsidRPr="00072B5F">
              <w:rPr>
                <w:rFonts w:ascii="HODFP N+ Tahoma" w:hAnsi="HODFP N+ Tahoma" w:cs="HODFP N+ Tahoma"/>
                <w:color w:val="464646"/>
                <w:sz w:val="20"/>
                <w:szCs w:val="20"/>
                <w:lang w:val="en-AU"/>
              </w:rPr>
              <w:t xml:space="preserve">Should medical confirmation provided to the RPO "expire" after a certain period? What are the costs and benefits of this approach, particularly if new medical confirmation was not required when a customer changes premise or retailer? </w:t>
            </w:r>
          </w:p>
        </w:tc>
        <w:tc>
          <w:tcPr>
            <w:tcW w:w="10091" w:type="dxa"/>
            <w:tcBorders>
              <w:left w:val="single" w:sz="2" w:space="0" w:color="58595B" w:themeColor="accent4"/>
            </w:tcBorders>
            <w:vAlign w:val="center"/>
          </w:tcPr>
          <w:p w14:paraId="78E56250" w14:textId="77777777" w:rsidR="003041F5" w:rsidRPr="00785222" w:rsidRDefault="003041F5" w:rsidP="000E02A8">
            <w:pPr>
              <w:pStyle w:val="AEMCTableBodyCopy"/>
              <w:rPr>
                <w:rStyle w:val="Hyperlink"/>
              </w:rPr>
            </w:pPr>
          </w:p>
        </w:tc>
      </w:tr>
    </w:tbl>
    <w:p w14:paraId="16607E78" w14:textId="10B4FED7" w:rsidR="00D17ED4" w:rsidRDefault="00D17ED4" w:rsidP="00D17ED4">
      <w:pPr>
        <w:pStyle w:val="AEMCBodyCopy"/>
        <w:rPr>
          <w:rStyle w:val="Hyperlink"/>
          <w:b/>
        </w:rPr>
      </w:pPr>
    </w:p>
    <w:p w14:paraId="3326EAE6" w14:textId="1B739CD2" w:rsidR="009E7726" w:rsidRPr="00717FEF" w:rsidRDefault="009E7726" w:rsidP="00717FEF">
      <w:pPr>
        <w:spacing w:line="259" w:lineRule="auto"/>
        <w:rPr>
          <w:b/>
        </w:rPr>
      </w:pPr>
    </w:p>
    <w:sectPr w:rsidR="009E7726" w:rsidRPr="00717FEF" w:rsidSect="00B933EC">
      <w:headerReference w:type="default" r:id="rId12"/>
      <w:footerReference w:type="default" r:id="rId13"/>
      <w:headerReference w:type="first" r:id="rId14"/>
      <w:footerReference w:type="first" r:id="rId15"/>
      <w:pgSz w:w="16840" w:h="11901" w:orient="landscape" w:code="9"/>
      <w:pgMar w:top="2269" w:right="1134" w:bottom="1418" w:left="851" w:header="8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129A8" w14:textId="77777777" w:rsidR="00C63FCA" w:rsidRDefault="00C63FCA" w:rsidP="00E768E2">
      <w:r>
        <w:separator/>
      </w:r>
    </w:p>
    <w:p w14:paraId="4EB7BB77" w14:textId="77777777" w:rsidR="00C63FCA" w:rsidRDefault="00C63FCA" w:rsidP="00E768E2"/>
    <w:p w14:paraId="799FAF3A" w14:textId="77777777" w:rsidR="00C63FCA" w:rsidRDefault="00C63FCA" w:rsidP="00E768E2"/>
    <w:p w14:paraId="7E122C98" w14:textId="77777777" w:rsidR="00C63FCA" w:rsidRDefault="00C63FCA" w:rsidP="00E768E2"/>
    <w:p w14:paraId="1A45AC0C" w14:textId="77777777" w:rsidR="00C63FCA" w:rsidRDefault="00C63FCA"/>
    <w:p w14:paraId="7DE60054" w14:textId="77777777" w:rsidR="00C63FCA" w:rsidRDefault="00C63FCA"/>
  </w:endnote>
  <w:endnote w:type="continuationSeparator" w:id="0">
    <w:p w14:paraId="657F177C" w14:textId="77777777" w:rsidR="00C63FCA" w:rsidRDefault="00C63FCA" w:rsidP="00E768E2">
      <w:r>
        <w:continuationSeparator/>
      </w:r>
    </w:p>
    <w:p w14:paraId="57B4E2C3" w14:textId="77777777" w:rsidR="00C63FCA" w:rsidRDefault="00C63FCA" w:rsidP="00E768E2"/>
    <w:p w14:paraId="516C3033" w14:textId="77777777" w:rsidR="00C63FCA" w:rsidRDefault="00C63FCA" w:rsidP="00E768E2"/>
    <w:p w14:paraId="3E81FACE" w14:textId="77777777" w:rsidR="00C63FCA" w:rsidRDefault="00C63FCA" w:rsidP="00E768E2"/>
    <w:p w14:paraId="1B7F885B" w14:textId="77777777" w:rsidR="00C63FCA" w:rsidRDefault="00C63FCA"/>
    <w:p w14:paraId="069EC488" w14:textId="77777777" w:rsidR="00C63FCA" w:rsidRDefault="00C63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 w:name="BDDKD P+ Tahoma">
    <w:altName w:val="Tahoma"/>
    <w:panose1 w:val="00000000000000000000"/>
    <w:charset w:val="00"/>
    <w:family w:val="swiss"/>
    <w:notTrueType/>
    <w:pitch w:val="default"/>
    <w:sig w:usb0="00000003" w:usb1="00000000" w:usb2="00000000" w:usb3="00000000" w:csb0="00000001" w:csb1="00000000"/>
  </w:font>
  <w:font w:name="HODFP N+ 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96CE9" w14:textId="77777777" w:rsidR="002B679B" w:rsidRPr="004B34C2" w:rsidRDefault="002B679B" w:rsidP="004B34C2">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1D4059">
      <w:rPr>
        <w:rStyle w:val="PageNumber"/>
        <w:b/>
        <w:noProof/>
      </w:rPr>
      <w:t>2</w:t>
    </w:r>
    <w:r w:rsidRPr="00D260F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E115" w14:textId="77777777" w:rsidR="002B679B" w:rsidRPr="008F5900" w:rsidRDefault="002B679B"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1D4059">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508F3" w14:textId="77777777" w:rsidR="00C63FCA" w:rsidRDefault="00C63FCA">
      <w:r>
        <w:separator/>
      </w:r>
    </w:p>
  </w:footnote>
  <w:footnote w:type="continuationSeparator" w:id="0">
    <w:p w14:paraId="4BAA8CE3" w14:textId="77777777" w:rsidR="00C63FCA" w:rsidRDefault="00C63FCA" w:rsidP="00E768E2">
      <w:r>
        <w:continuationSeparator/>
      </w:r>
    </w:p>
    <w:p w14:paraId="68EBADA4" w14:textId="77777777" w:rsidR="00C63FCA" w:rsidRDefault="00C63FCA" w:rsidP="00E768E2"/>
    <w:p w14:paraId="347149DD" w14:textId="77777777" w:rsidR="00C63FCA" w:rsidRDefault="00C63FCA" w:rsidP="00E768E2"/>
    <w:p w14:paraId="792B8297" w14:textId="77777777" w:rsidR="00C63FCA" w:rsidRDefault="00C63FCA" w:rsidP="00E768E2"/>
    <w:p w14:paraId="153DDCDC" w14:textId="77777777" w:rsidR="00C63FCA" w:rsidRDefault="00C63FCA"/>
    <w:p w14:paraId="014E9D19" w14:textId="77777777" w:rsidR="00C63FCA" w:rsidRDefault="00C63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47"/>
    </w:tblGrid>
    <w:tr w:rsidR="002B679B" w14:paraId="55470BCA" w14:textId="77777777" w:rsidTr="00C14DB5">
      <w:trPr>
        <w:trHeight w:val="680"/>
      </w:trPr>
      <w:tc>
        <w:tcPr>
          <w:tcW w:w="8147" w:type="dxa"/>
        </w:tcPr>
        <w:p w14:paraId="5BC0FAC4" w14:textId="77777777" w:rsidR="002B679B" w:rsidRPr="00D260FB" w:rsidRDefault="002B679B" w:rsidP="00D260FB">
          <w:pPr>
            <w:pStyle w:val="Header"/>
            <w:ind w:left="85"/>
            <w:rPr>
              <w:b/>
              <w:lang w:val="en-AU"/>
            </w:rPr>
          </w:pPr>
          <w:r>
            <w:rPr>
              <w:b/>
              <w:lang w:val="en-AU"/>
            </w:rPr>
            <w:t>Stakeholder feedback</w:t>
          </w:r>
        </w:p>
        <w:p w14:paraId="156124E5" w14:textId="5396CCE5" w:rsidR="002B679B" w:rsidRDefault="006770A3" w:rsidP="009E7726">
          <w:pPr>
            <w:pStyle w:val="Header"/>
            <w:tabs>
              <w:tab w:val="clear" w:pos="4513"/>
              <w:tab w:val="clear" w:pos="9026"/>
              <w:tab w:val="left" w:pos="2240"/>
            </w:tabs>
            <w:ind w:left="85"/>
            <w:rPr>
              <w:lang w:val="en-AU"/>
            </w:rPr>
          </w:pPr>
          <w:r>
            <w:rPr>
              <w:lang w:val="en-AU"/>
            </w:rPr>
            <w:t>Maintaining life support customer registration when switching</w:t>
          </w:r>
        </w:p>
        <w:p w14:paraId="4AD12A0D" w14:textId="3720A125" w:rsidR="002B679B" w:rsidRDefault="006A0359" w:rsidP="009E7726">
          <w:pPr>
            <w:pStyle w:val="Header"/>
            <w:ind w:left="85"/>
            <w:rPr>
              <w:lang w:val="en-AU"/>
            </w:rPr>
          </w:pPr>
          <w:r>
            <w:rPr>
              <w:lang w:val="en-AU"/>
            </w:rPr>
            <w:t xml:space="preserve">6 August </w:t>
          </w:r>
          <w:r w:rsidR="002B679B">
            <w:rPr>
              <w:lang w:val="en-AU"/>
            </w:rPr>
            <w:t>20</w:t>
          </w:r>
          <w:r w:rsidR="00D17ED4">
            <w:rPr>
              <w:lang w:val="en-AU"/>
            </w:rPr>
            <w:t>20</w:t>
          </w:r>
        </w:p>
      </w:tc>
    </w:tr>
  </w:tbl>
  <w:p w14:paraId="219C20C6" w14:textId="77777777" w:rsidR="002B679B" w:rsidRPr="004B34C2" w:rsidRDefault="002B679B" w:rsidP="004B34C2">
    <w:pPr>
      <w:pStyle w:val="Heade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64A5" w14:textId="77777777" w:rsidR="002B679B" w:rsidRDefault="002B679B">
    <w:pPr>
      <w:pStyle w:val="Header"/>
    </w:pPr>
    <w:r w:rsidRPr="00F73126">
      <w:rPr>
        <w:noProof/>
        <w:sz w:val="36"/>
        <w:szCs w:val="36"/>
        <w:lang w:val="en-AU" w:eastAsia="en-AU"/>
      </w:rPr>
      <mc:AlternateContent>
        <mc:Choice Requires="wps">
          <w:drawing>
            <wp:anchor distT="0" distB="0" distL="114300" distR="114300" simplePos="0" relativeHeight="251660800" behindDoc="1" locked="0" layoutInCell="1" allowOverlap="0" wp14:anchorId="4051D5C4" wp14:editId="1E82A788">
              <wp:simplePos x="0" y="0"/>
              <wp:positionH relativeFrom="page">
                <wp:posOffset>720090</wp:posOffset>
              </wp:positionH>
              <wp:positionV relativeFrom="page">
                <wp:posOffset>2127885</wp:posOffset>
              </wp:positionV>
              <wp:extent cx="6172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172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09C7A5" id="Straight Connector 6"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67.55pt" to="105.3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" o:allowoverlap="f" strokecolor="#00a8e5 [3204]" strokeweight="1.5pt">
              <w10:wrap anchorx="page" anchory="page"/>
            </v:line>
          </w:pict>
        </mc:Fallback>
      </mc:AlternateContent>
    </w:r>
    <w:r>
      <w:rPr>
        <w:noProof/>
        <w:lang w:val="en-AU" w:eastAsia="en-AU"/>
      </w:rPr>
      <w:drawing>
        <wp:inline distT="0" distB="0" distL="0" distR="0" wp14:anchorId="1561D264" wp14:editId="64D112D4">
          <wp:extent cx="1080000" cy="254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46436D"/>
    <w:multiLevelType w:val="hybridMultilevel"/>
    <w:tmpl w:val="F73856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D14C0"/>
    <w:multiLevelType w:val="hybridMultilevel"/>
    <w:tmpl w:val="C34A8312"/>
    <w:lvl w:ilvl="0" w:tplc="0C090017">
      <w:start w:val="1"/>
      <w:numFmt w:val="lowerLetter"/>
      <w:lvlText w:val="%1)"/>
      <w:lvlJc w:val="left"/>
      <w:pPr>
        <w:tabs>
          <w:tab w:val="num" w:pos="284"/>
        </w:tabs>
        <w:ind w:left="284" w:hanging="28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D727CA"/>
    <w:multiLevelType w:val="hybridMultilevel"/>
    <w:tmpl w:val="C34A8312"/>
    <w:lvl w:ilvl="0" w:tplc="0C090017">
      <w:start w:val="1"/>
      <w:numFmt w:val="lowerLetter"/>
      <w:lvlText w:val="%1)"/>
      <w:lvlJc w:val="left"/>
      <w:pPr>
        <w:tabs>
          <w:tab w:val="num" w:pos="284"/>
        </w:tabs>
        <w:ind w:left="284" w:hanging="28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7CCFC8B"/>
    <w:multiLevelType w:val="hybridMultilevel"/>
    <w:tmpl w:val="E66627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EC2CB4"/>
    <w:multiLevelType w:val="hybridMultilevel"/>
    <w:tmpl w:val="53D0A990"/>
    <w:lvl w:ilvl="0" w:tplc="0C09000F">
      <w:start w:val="1"/>
      <w:numFmt w:val="decimal"/>
      <w:lvlText w:val="%1."/>
      <w:lvlJc w:val="left"/>
      <w:pPr>
        <w:tabs>
          <w:tab w:val="num" w:pos="283"/>
        </w:tabs>
        <w:ind w:left="283" w:hanging="283"/>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48D04655"/>
    <w:multiLevelType w:val="hybridMultilevel"/>
    <w:tmpl w:val="92EC60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05E6FAC"/>
    <w:multiLevelType w:val="hybridMultilevel"/>
    <w:tmpl w:val="C34A8312"/>
    <w:lvl w:ilvl="0" w:tplc="0C090017">
      <w:start w:val="1"/>
      <w:numFmt w:val="lowerLetter"/>
      <w:lvlText w:val="%1)"/>
      <w:lvlJc w:val="left"/>
      <w:pPr>
        <w:tabs>
          <w:tab w:val="num" w:pos="284"/>
        </w:tabs>
        <w:ind w:left="284" w:hanging="28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A859EB"/>
    <w:multiLevelType w:val="hybridMultilevel"/>
    <w:tmpl w:val="0DB6DC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62F300E"/>
    <w:multiLevelType w:val="hybridMultilevel"/>
    <w:tmpl w:val="BF1019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68E766E"/>
    <w:multiLevelType w:val="hybridMultilevel"/>
    <w:tmpl w:val="C34A8312"/>
    <w:lvl w:ilvl="0" w:tplc="0C090017">
      <w:start w:val="1"/>
      <w:numFmt w:val="lowerLetter"/>
      <w:pStyle w:val="AEMCTableBodyCopyNumbers"/>
      <w:lvlText w:val="%1)"/>
      <w:lvlJc w:val="left"/>
      <w:pPr>
        <w:tabs>
          <w:tab w:val="num" w:pos="284"/>
        </w:tabs>
        <w:ind w:left="284" w:hanging="28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E0236C"/>
    <w:multiLevelType w:val="hybridMultilevel"/>
    <w:tmpl w:val="C34A8312"/>
    <w:lvl w:ilvl="0" w:tplc="0C090017">
      <w:start w:val="1"/>
      <w:numFmt w:val="lowerLetter"/>
      <w:lvlText w:val="%1)"/>
      <w:lvlJc w:val="left"/>
      <w:pPr>
        <w:tabs>
          <w:tab w:val="num" w:pos="284"/>
        </w:tabs>
        <w:ind w:left="284" w:hanging="28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3"/>
  </w:num>
  <w:num w:numId="4">
    <w:abstractNumId w:val="4"/>
  </w:num>
  <w:num w:numId="5">
    <w:abstractNumId w:val="12"/>
  </w:num>
  <w:num w:numId="6">
    <w:abstractNumId w:val="14"/>
  </w:num>
  <w:num w:numId="7">
    <w:abstractNumId w:val="7"/>
  </w:num>
  <w:num w:numId="8">
    <w:abstractNumId w:val="7"/>
    <w:lvlOverride w:ilvl="0">
      <w:startOverride w:val="1"/>
    </w:lvlOverride>
  </w:num>
  <w:num w:numId="9">
    <w:abstractNumId w:val="10"/>
  </w:num>
  <w:num w:numId="10">
    <w:abstractNumId w:val="14"/>
    <w:lvlOverride w:ilvl="0">
      <w:startOverride w:val="1"/>
    </w:lvlOverride>
  </w:num>
  <w:num w:numId="11">
    <w:abstractNumId w:val="14"/>
  </w:num>
  <w:num w:numId="12">
    <w:abstractNumId w:val="1"/>
  </w:num>
  <w:num w:numId="13">
    <w:abstractNumId w:val="15"/>
  </w:num>
  <w:num w:numId="14">
    <w:abstractNumId w:val="14"/>
  </w:num>
  <w:num w:numId="15">
    <w:abstractNumId w:val="9"/>
  </w:num>
  <w:num w:numId="16">
    <w:abstractNumId w:val="2"/>
  </w:num>
  <w:num w:numId="17">
    <w:abstractNumId w:val="1"/>
    <w:lvlOverride w:ilvl="0">
      <w:startOverride w:val="1"/>
    </w:lvlOverride>
  </w:num>
  <w:num w:numId="18">
    <w:abstractNumId w:val="15"/>
    <w:lvlOverride w:ilvl="0">
      <w:startOverride w:val="1"/>
    </w:lvlOverride>
  </w:num>
  <w:num w:numId="19">
    <w:abstractNumId w:val="2"/>
    <w:lvlOverride w:ilvl="0">
      <w:startOverride w:val="1"/>
    </w:lvlOverride>
  </w:num>
  <w:num w:numId="20">
    <w:abstractNumId w:val="8"/>
  </w:num>
  <w:num w:numId="21">
    <w:abstractNumId w:val="6"/>
  </w:num>
  <w:num w:numId="22">
    <w:abstractNumId w:val="0"/>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26"/>
    <w:rsid w:val="00000E51"/>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62D3"/>
    <w:rsid w:val="00037513"/>
    <w:rsid w:val="000376F9"/>
    <w:rsid w:val="0004018C"/>
    <w:rsid w:val="0004027A"/>
    <w:rsid w:val="0004111E"/>
    <w:rsid w:val="000414D5"/>
    <w:rsid w:val="00041A2E"/>
    <w:rsid w:val="000437DC"/>
    <w:rsid w:val="0004420E"/>
    <w:rsid w:val="000442F8"/>
    <w:rsid w:val="00044BDA"/>
    <w:rsid w:val="00045842"/>
    <w:rsid w:val="000475BF"/>
    <w:rsid w:val="00047D0C"/>
    <w:rsid w:val="00047D41"/>
    <w:rsid w:val="00047E4A"/>
    <w:rsid w:val="0005008F"/>
    <w:rsid w:val="0005011E"/>
    <w:rsid w:val="00051F67"/>
    <w:rsid w:val="00052368"/>
    <w:rsid w:val="00052A04"/>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2B5F"/>
    <w:rsid w:val="0007340D"/>
    <w:rsid w:val="0007465F"/>
    <w:rsid w:val="000749C5"/>
    <w:rsid w:val="000756A0"/>
    <w:rsid w:val="00080497"/>
    <w:rsid w:val="00081AE5"/>
    <w:rsid w:val="00084BE1"/>
    <w:rsid w:val="000867D3"/>
    <w:rsid w:val="000877F7"/>
    <w:rsid w:val="00087F77"/>
    <w:rsid w:val="0009020F"/>
    <w:rsid w:val="00091D7A"/>
    <w:rsid w:val="00092D3A"/>
    <w:rsid w:val="00094B2E"/>
    <w:rsid w:val="00095114"/>
    <w:rsid w:val="00095231"/>
    <w:rsid w:val="0009593C"/>
    <w:rsid w:val="00096017"/>
    <w:rsid w:val="0009733D"/>
    <w:rsid w:val="00097BA5"/>
    <w:rsid w:val="000A0478"/>
    <w:rsid w:val="000A18DC"/>
    <w:rsid w:val="000A1C7B"/>
    <w:rsid w:val="000A1D0D"/>
    <w:rsid w:val="000A54FA"/>
    <w:rsid w:val="000A5F06"/>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241A"/>
    <w:rsid w:val="00103D42"/>
    <w:rsid w:val="001040D9"/>
    <w:rsid w:val="001040DB"/>
    <w:rsid w:val="0010474E"/>
    <w:rsid w:val="00104B55"/>
    <w:rsid w:val="00105E6A"/>
    <w:rsid w:val="00105E74"/>
    <w:rsid w:val="00106A6A"/>
    <w:rsid w:val="001109E5"/>
    <w:rsid w:val="001113CD"/>
    <w:rsid w:val="00112EBC"/>
    <w:rsid w:val="00113FFD"/>
    <w:rsid w:val="0011699D"/>
    <w:rsid w:val="001169DC"/>
    <w:rsid w:val="001207ED"/>
    <w:rsid w:val="00122AB9"/>
    <w:rsid w:val="001239CC"/>
    <w:rsid w:val="0012499B"/>
    <w:rsid w:val="00125D9B"/>
    <w:rsid w:val="001267DD"/>
    <w:rsid w:val="00127C9B"/>
    <w:rsid w:val="00132C57"/>
    <w:rsid w:val="00135A43"/>
    <w:rsid w:val="00135E9D"/>
    <w:rsid w:val="00136E3D"/>
    <w:rsid w:val="00140A43"/>
    <w:rsid w:val="00141AF9"/>
    <w:rsid w:val="00142959"/>
    <w:rsid w:val="00143727"/>
    <w:rsid w:val="00144889"/>
    <w:rsid w:val="00147C7F"/>
    <w:rsid w:val="001508EE"/>
    <w:rsid w:val="00150F93"/>
    <w:rsid w:val="00151729"/>
    <w:rsid w:val="00152186"/>
    <w:rsid w:val="0015281A"/>
    <w:rsid w:val="00152D58"/>
    <w:rsid w:val="00154925"/>
    <w:rsid w:val="001549DD"/>
    <w:rsid w:val="0015518A"/>
    <w:rsid w:val="0015555C"/>
    <w:rsid w:val="001567FB"/>
    <w:rsid w:val="00156ED7"/>
    <w:rsid w:val="00160471"/>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64FC"/>
    <w:rsid w:val="0018654F"/>
    <w:rsid w:val="001870E5"/>
    <w:rsid w:val="00187118"/>
    <w:rsid w:val="001874B0"/>
    <w:rsid w:val="001874E6"/>
    <w:rsid w:val="001905F7"/>
    <w:rsid w:val="00190FC9"/>
    <w:rsid w:val="00192B54"/>
    <w:rsid w:val="00192EA9"/>
    <w:rsid w:val="0019391E"/>
    <w:rsid w:val="0019455B"/>
    <w:rsid w:val="00196034"/>
    <w:rsid w:val="00196462"/>
    <w:rsid w:val="0019699E"/>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2765"/>
    <w:rsid w:val="001C283D"/>
    <w:rsid w:val="001C2E09"/>
    <w:rsid w:val="001C2FC1"/>
    <w:rsid w:val="001C3801"/>
    <w:rsid w:val="001C3ADD"/>
    <w:rsid w:val="001C4BFD"/>
    <w:rsid w:val="001C63AD"/>
    <w:rsid w:val="001C63C5"/>
    <w:rsid w:val="001C76B1"/>
    <w:rsid w:val="001D04BF"/>
    <w:rsid w:val="001D0D44"/>
    <w:rsid w:val="001D1B40"/>
    <w:rsid w:val="001D4059"/>
    <w:rsid w:val="001D5750"/>
    <w:rsid w:val="001D638A"/>
    <w:rsid w:val="001D7085"/>
    <w:rsid w:val="001E03F9"/>
    <w:rsid w:val="001E2B79"/>
    <w:rsid w:val="001E40AC"/>
    <w:rsid w:val="001E58E7"/>
    <w:rsid w:val="001E74E8"/>
    <w:rsid w:val="001E7C2B"/>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5A5C"/>
    <w:rsid w:val="0021677E"/>
    <w:rsid w:val="002215F7"/>
    <w:rsid w:val="0022180E"/>
    <w:rsid w:val="00223761"/>
    <w:rsid w:val="00225283"/>
    <w:rsid w:val="0022653B"/>
    <w:rsid w:val="002326A0"/>
    <w:rsid w:val="00232B5D"/>
    <w:rsid w:val="002348E4"/>
    <w:rsid w:val="002352FA"/>
    <w:rsid w:val="00236560"/>
    <w:rsid w:val="00236997"/>
    <w:rsid w:val="00237629"/>
    <w:rsid w:val="002377CF"/>
    <w:rsid w:val="00237DAA"/>
    <w:rsid w:val="002401DA"/>
    <w:rsid w:val="00242234"/>
    <w:rsid w:val="00242B03"/>
    <w:rsid w:val="0024382D"/>
    <w:rsid w:val="00246194"/>
    <w:rsid w:val="00246F19"/>
    <w:rsid w:val="00247780"/>
    <w:rsid w:val="00250C15"/>
    <w:rsid w:val="00250D87"/>
    <w:rsid w:val="002518CF"/>
    <w:rsid w:val="002536C1"/>
    <w:rsid w:val="002556CD"/>
    <w:rsid w:val="0025621E"/>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2127"/>
    <w:rsid w:val="002847DD"/>
    <w:rsid w:val="00285BDB"/>
    <w:rsid w:val="00286804"/>
    <w:rsid w:val="0029085A"/>
    <w:rsid w:val="00291BD9"/>
    <w:rsid w:val="002921B4"/>
    <w:rsid w:val="00292D72"/>
    <w:rsid w:val="002932DA"/>
    <w:rsid w:val="00293402"/>
    <w:rsid w:val="00295F6F"/>
    <w:rsid w:val="00297506"/>
    <w:rsid w:val="002A2061"/>
    <w:rsid w:val="002A2725"/>
    <w:rsid w:val="002A2DB9"/>
    <w:rsid w:val="002A37CA"/>
    <w:rsid w:val="002A3BF6"/>
    <w:rsid w:val="002A5953"/>
    <w:rsid w:val="002A6424"/>
    <w:rsid w:val="002A6907"/>
    <w:rsid w:val="002A6A1F"/>
    <w:rsid w:val="002A76C7"/>
    <w:rsid w:val="002B084E"/>
    <w:rsid w:val="002B107D"/>
    <w:rsid w:val="002B1BF4"/>
    <w:rsid w:val="002B1F96"/>
    <w:rsid w:val="002B222A"/>
    <w:rsid w:val="002B272B"/>
    <w:rsid w:val="002B314A"/>
    <w:rsid w:val="002B4A95"/>
    <w:rsid w:val="002B4E2E"/>
    <w:rsid w:val="002B5921"/>
    <w:rsid w:val="002B5EFE"/>
    <w:rsid w:val="002B679B"/>
    <w:rsid w:val="002B6C93"/>
    <w:rsid w:val="002B74F9"/>
    <w:rsid w:val="002C118A"/>
    <w:rsid w:val="002C1A0F"/>
    <w:rsid w:val="002C1DEC"/>
    <w:rsid w:val="002C2AFA"/>
    <w:rsid w:val="002C36F8"/>
    <w:rsid w:val="002C6420"/>
    <w:rsid w:val="002C6494"/>
    <w:rsid w:val="002C684C"/>
    <w:rsid w:val="002D283E"/>
    <w:rsid w:val="002D2B2C"/>
    <w:rsid w:val="002D347A"/>
    <w:rsid w:val="002D53BD"/>
    <w:rsid w:val="002D5EE7"/>
    <w:rsid w:val="002D6CE5"/>
    <w:rsid w:val="002E05B7"/>
    <w:rsid w:val="002E0EAE"/>
    <w:rsid w:val="002E1941"/>
    <w:rsid w:val="002E245B"/>
    <w:rsid w:val="002E2EE9"/>
    <w:rsid w:val="002E3010"/>
    <w:rsid w:val="002E38F9"/>
    <w:rsid w:val="002E5F2A"/>
    <w:rsid w:val="002E6423"/>
    <w:rsid w:val="002E6890"/>
    <w:rsid w:val="002E6EA9"/>
    <w:rsid w:val="002F1C7C"/>
    <w:rsid w:val="002F4B65"/>
    <w:rsid w:val="002F642E"/>
    <w:rsid w:val="002F6A4A"/>
    <w:rsid w:val="002F6D2D"/>
    <w:rsid w:val="003011F1"/>
    <w:rsid w:val="00301568"/>
    <w:rsid w:val="0030159E"/>
    <w:rsid w:val="00301A72"/>
    <w:rsid w:val="00301EAC"/>
    <w:rsid w:val="0030274C"/>
    <w:rsid w:val="003030A1"/>
    <w:rsid w:val="00304070"/>
    <w:rsid w:val="003041F5"/>
    <w:rsid w:val="00305231"/>
    <w:rsid w:val="00305346"/>
    <w:rsid w:val="00305930"/>
    <w:rsid w:val="00305C20"/>
    <w:rsid w:val="0030708C"/>
    <w:rsid w:val="00307904"/>
    <w:rsid w:val="0031012D"/>
    <w:rsid w:val="00310411"/>
    <w:rsid w:val="00311447"/>
    <w:rsid w:val="003116B4"/>
    <w:rsid w:val="00311D7A"/>
    <w:rsid w:val="00312593"/>
    <w:rsid w:val="00312C29"/>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32FA"/>
    <w:rsid w:val="003334B7"/>
    <w:rsid w:val="0033442C"/>
    <w:rsid w:val="00334F69"/>
    <w:rsid w:val="00335788"/>
    <w:rsid w:val="00335F0E"/>
    <w:rsid w:val="00336BE5"/>
    <w:rsid w:val="0033767D"/>
    <w:rsid w:val="00340549"/>
    <w:rsid w:val="00341B9B"/>
    <w:rsid w:val="00342B3B"/>
    <w:rsid w:val="00342BD1"/>
    <w:rsid w:val="003434D7"/>
    <w:rsid w:val="00343AAC"/>
    <w:rsid w:val="003442C1"/>
    <w:rsid w:val="00344D3C"/>
    <w:rsid w:val="0034515C"/>
    <w:rsid w:val="00345AF9"/>
    <w:rsid w:val="003462C7"/>
    <w:rsid w:val="00347CE9"/>
    <w:rsid w:val="00350AC9"/>
    <w:rsid w:val="00350EA8"/>
    <w:rsid w:val="00351ADB"/>
    <w:rsid w:val="00352373"/>
    <w:rsid w:val="00352F88"/>
    <w:rsid w:val="00354B58"/>
    <w:rsid w:val="00354D8A"/>
    <w:rsid w:val="00356CAE"/>
    <w:rsid w:val="0036023F"/>
    <w:rsid w:val="003627DC"/>
    <w:rsid w:val="00362EB7"/>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6E7"/>
    <w:rsid w:val="003D53C7"/>
    <w:rsid w:val="003D546A"/>
    <w:rsid w:val="003D5888"/>
    <w:rsid w:val="003D5C77"/>
    <w:rsid w:val="003D7122"/>
    <w:rsid w:val="003E0BA3"/>
    <w:rsid w:val="003E0C00"/>
    <w:rsid w:val="003E1E5B"/>
    <w:rsid w:val="003E36B9"/>
    <w:rsid w:val="003E4B40"/>
    <w:rsid w:val="003E5817"/>
    <w:rsid w:val="003E6361"/>
    <w:rsid w:val="003E6D97"/>
    <w:rsid w:val="003E79D1"/>
    <w:rsid w:val="003F2DC5"/>
    <w:rsid w:val="004002DF"/>
    <w:rsid w:val="0040111D"/>
    <w:rsid w:val="004015BB"/>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6761"/>
    <w:rsid w:val="004768F8"/>
    <w:rsid w:val="00481A8B"/>
    <w:rsid w:val="004842C7"/>
    <w:rsid w:val="0048510E"/>
    <w:rsid w:val="00485488"/>
    <w:rsid w:val="00486C46"/>
    <w:rsid w:val="00486C85"/>
    <w:rsid w:val="00486F4C"/>
    <w:rsid w:val="004870BB"/>
    <w:rsid w:val="00491B44"/>
    <w:rsid w:val="00491D0A"/>
    <w:rsid w:val="004933BC"/>
    <w:rsid w:val="004937DE"/>
    <w:rsid w:val="00493E2F"/>
    <w:rsid w:val="004941A3"/>
    <w:rsid w:val="0049427D"/>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2A4"/>
    <w:rsid w:val="004B4FF2"/>
    <w:rsid w:val="004B5DA0"/>
    <w:rsid w:val="004B6D06"/>
    <w:rsid w:val="004B7948"/>
    <w:rsid w:val="004C14F7"/>
    <w:rsid w:val="004C166E"/>
    <w:rsid w:val="004C1BB7"/>
    <w:rsid w:val="004C3D86"/>
    <w:rsid w:val="004C3DEF"/>
    <w:rsid w:val="004C63E6"/>
    <w:rsid w:val="004C662F"/>
    <w:rsid w:val="004C6BF9"/>
    <w:rsid w:val="004C7557"/>
    <w:rsid w:val="004C7975"/>
    <w:rsid w:val="004D0A50"/>
    <w:rsid w:val="004D20DF"/>
    <w:rsid w:val="004D270B"/>
    <w:rsid w:val="004D2B15"/>
    <w:rsid w:val="004D2D4A"/>
    <w:rsid w:val="004D3088"/>
    <w:rsid w:val="004D380A"/>
    <w:rsid w:val="004D4983"/>
    <w:rsid w:val="004D4DF8"/>
    <w:rsid w:val="004D5391"/>
    <w:rsid w:val="004D58B3"/>
    <w:rsid w:val="004E021F"/>
    <w:rsid w:val="004E0408"/>
    <w:rsid w:val="004E1F1B"/>
    <w:rsid w:val="004E2559"/>
    <w:rsid w:val="004E2B52"/>
    <w:rsid w:val="004E2F98"/>
    <w:rsid w:val="004E4060"/>
    <w:rsid w:val="004E4872"/>
    <w:rsid w:val="004E4FA3"/>
    <w:rsid w:val="004E56A6"/>
    <w:rsid w:val="004E605E"/>
    <w:rsid w:val="004E64F1"/>
    <w:rsid w:val="004E754D"/>
    <w:rsid w:val="004E7A2C"/>
    <w:rsid w:val="004F0ABA"/>
    <w:rsid w:val="004F34AD"/>
    <w:rsid w:val="004F3B5F"/>
    <w:rsid w:val="004F3BCF"/>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7F4"/>
    <w:rsid w:val="00530B6F"/>
    <w:rsid w:val="005312A4"/>
    <w:rsid w:val="005317F1"/>
    <w:rsid w:val="005321F1"/>
    <w:rsid w:val="00533DF8"/>
    <w:rsid w:val="00534916"/>
    <w:rsid w:val="00536870"/>
    <w:rsid w:val="00537970"/>
    <w:rsid w:val="00540493"/>
    <w:rsid w:val="00540E7D"/>
    <w:rsid w:val="0054156E"/>
    <w:rsid w:val="00541E2D"/>
    <w:rsid w:val="00541EB9"/>
    <w:rsid w:val="005427C9"/>
    <w:rsid w:val="005431A7"/>
    <w:rsid w:val="00546949"/>
    <w:rsid w:val="00547AFB"/>
    <w:rsid w:val="005504A5"/>
    <w:rsid w:val="00550574"/>
    <w:rsid w:val="00551C59"/>
    <w:rsid w:val="00554879"/>
    <w:rsid w:val="00555686"/>
    <w:rsid w:val="00555EAD"/>
    <w:rsid w:val="00556645"/>
    <w:rsid w:val="00557220"/>
    <w:rsid w:val="00557A71"/>
    <w:rsid w:val="00560E56"/>
    <w:rsid w:val="0056111B"/>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6CF"/>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3515"/>
    <w:rsid w:val="005C36D5"/>
    <w:rsid w:val="005C43A3"/>
    <w:rsid w:val="005C615E"/>
    <w:rsid w:val="005C7E5D"/>
    <w:rsid w:val="005D0397"/>
    <w:rsid w:val="005D1810"/>
    <w:rsid w:val="005D2296"/>
    <w:rsid w:val="005D3418"/>
    <w:rsid w:val="005D433A"/>
    <w:rsid w:val="005D4DBD"/>
    <w:rsid w:val="005D4EF7"/>
    <w:rsid w:val="005D67F4"/>
    <w:rsid w:val="005D7CEF"/>
    <w:rsid w:val="005E0B40"/>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7061"/>
    <w:rsid w:val="00647C37"/>
    <w:rsid w:val="0065093F"/>
    <w:rsid w:val="00650D72"/>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0A3"/>
    <w:rsid w:val="00677DF7"/>
    <w:rsid w:val="00681016"/>
    <w:rsid w:val="006816F3"/>
    <w:rsid w:val="00681E5E"/>
    <w:rsid w:val="0068248D"/>
    <w:rsid w:val="0068267E"/>
    <w:rsid w:val="00682EE6"/>
    <w:rsid w:val="0068334C"/>
    <w:rsid w:val="006834FA"/>
    <w:rsid w:val="006847DB"/>
    <w:rsid w:val="00684C02"/>
    <w:rsid w:val="006853BA"/>
    <w:rsid w:val="0068544A"/>
    <w:rsid w:val="00686FFD"/>
    <w:rsid w:val="00690728"/>
    <w:rsid w:val="00691991"/>
    <w:rsid w:val="00692D5B"/>
    <w:rsid w:val="006937AD"/>
    <w:rsid w:val="00693CB6"/>
    <w:rsid w:val="00695233"/>
    <w:rsid w:val="00695568"/>
    <w:rsid w:val="00695CE0"/>
    <w:rsid w:val="00697E74"/>
    <w:rsid w:val="006A0359"/>
    <w:rsid w:val="006A14A1"/>
    <w:rsid w:val="006A3D16"/>
    <w:rsid w:val="006A67B5"/>
    <w:rsid w:val="006B2E00"/>
    <w:rsid w:val="006B2F97"/>
    <w:rsid w:val="006B314C"/>
    <w:rsid w:val="006B3D97"/>
    <w:rsid w:val="006B3E3F"/>
    <w:rsid w:val="006B4137"/>
    <w:rsid w:val="006B4AFA"/>
    <w:rsid w:val="006B4C44"/>
    <w:rsid w:val="006B6B24"/>
    <w:rsid w:val="006B7C5E"/>
    <w:rsid w:val="006C11BD"/>
    <w:rsid w:val="006C30FD"/>
    <w:rsid w:val="006C3211"/>
    <w:rsid w:val="006C32A6"/>
    <w:rsid w:val="006C339D"/>
    <w:rsid w:val="006C3F2A"/>
    <w:rsid w:val="006C40EE"/>
    <w:rsid w:val="006C549C"/>
    <w:rsid w:val="006C6553"/>
    <w:rsid w:val="006D13A3"/>
    <w:rsid w:val="006D2AAE"/>
    <w:rsid w:val="006D2C22"/>
    <w:rsid w:val="006D3194"/>
    <w:rsid w:val="006D5001"/>
    <w:rsid w:val="006E0286"/>
    <w:rsid w:val="006E03CC"/>
    <w:rsid w:val="006E1B42"/>
    <w:rsid w:val="006E23F3"/>
    <w:rsid w:val="006E505A"/>
    <w:rsid w:val="006E61FF"/>
    <w:rsid w:val="006E789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5380"/>
    <w:rsid w:val="00706059"/>
    <w:rsid w:val="00707A6E"/>
    <w:rsid w:val="00712548"/>
    <w:rsid w:val="00712806"/>
    <w:rsid w:val="00712A3E"/>
    <w:rsid w:val="0071419C"/>
    <w:rsid w:val="00715015"/>
    <w:rsid w:val="007152CE"/>
    <w:rsid w:val="007153FF"/>
    <w:rsid w:val="00715A18"/>
    <w:rsid w:val="007165F2"/>
    <w:rsid w:val="00716C6D"/>
    <w:rsid w:val="00717FEF"/>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4766"/>
    <w:rsid w:val="00745086"/>
    <w:rsid w:val="007456C5"/>
    <w:rsid w:val="00745CE2"/>
    <w:rsid w:val="00745E0B"/>
    <w:rsid w:val="007461E5"/>
    <w:rsid w:val="0074744A"/>
    <w:rsid w:val="0074775B"/>
    <w:rsid w:val="00750238"/>
    <w:rsid w:val="00750FEA"/>
    <w:rsid w:val="007559C2"/>
    <w:rsid w:val="0075676A"/>
    <w:rsid w:val="00756F69"/>
    <w:rsid w:val="00757160"/>
    <w:rsid w:val="00757ED4"/>
    <w:rsid w:val="007638D9"/>
    <w:rsid w:val="00766E66"/>
    <w:rsid w:val="00767AD9"/>
    <w:rsid w:val="007710F3"/>
    <w:rsid w:val="0077213C"/>
    <w:rsid w:val="007730A6"/>
    <w:rsid w:val="007753AE"/>
    <w:rsid w:val="007767BA"/>
    <w:rsid w:val="00776F26"/>
    <w:rsid w:val="0077792C"/>
    <w:rsid w:val="007779BD"/>
    <w:rsid w:val="007806F0"/>
    <w:rsid w:val="00780BB3"/>
    <w:rsid w:val="007814C4"/>
    <w:rsid w:val="00781DA5"/>
    <w:rsid w:val="00782676"/>
    <w:rsid w:val="007829E3"/>
    <w:rsid w:val="00782BE5"/>
    <w:rsid w:val="007832DC"/>
    <w:rsid w:val="00783854"/>
    <w:rsid w:val="00783C1E"/>
    <w:rsid w:val="00784E56"/>
    <w:rsid w:val="00785222"/>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25F"/>
    <w:rsid w:val="007C5D52"/>
    <w:rsid w:val="007C638F"/>
    <w:rsid w:val="007C63E8"/>
    <w:rsid w:val="007C73D8"/>
    <w:rsid w:val="007C73E1"/>
    <w:rsid w:val="007C7F00"/>
    <w:rsid w:val="007D0AA0"/>
    <w:rsid w:val="007D1519"/>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74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6B3C"/>
    <w:rsid w:val="008372EE"/>
    <w:rsid w:val="0083753F"/>
    <w:rsid w:val="008430E3"/>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65904"/>
    <w:rsid w:val="0087265B"/>
    <w:rsid w:val="00872BDF"/>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71B7"/>
    <w:rsid w:val="008A2B53"/>
    <w:rsid w:val="008A2FCA"/>
    <w:rsid w:val="008A3302"/>
    <w:rsid w:val="008A354A"/>
    <w:rsid w:val="008A3959"/>
    <w:rsid w:val="008A4886"/>
    <w:rsid w:val="008A4BE9"/>
    <w:rsid w:val="008A4CBE"/>
    <w:rsid w:val="008A5976"/>
    <w:rsid w:val="008A5EB0"/>
    <w:rsid w:val="008A6950"/>
    <w:rsid w:val="008A79C2"/>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3E4E"/>
    <w:rsid w:val="008C4C14"/>
    <w:rsid w:val="008C66B3"/>
    <w:rsid w:val="008C6A18"/>
    <w:rsid w:val="008C6EEC"/>
    <w:rsid w:val="008C7167"/>
    <w:rsid w:val="008D0F98"/>
    <w:rsid w:val="008D1883"/>
    <w:rsid w:val="008D267A"/>
    <w:rsid w:val="008D3015"/>
    <w:rsid w:val="008D4BEC"/>
    <w:rsid w:val="008D4F88"/>
    <w:rsid w:val="008D56D2"/>
    <w:rsid w:val="008D5FFF"/>
    <w:rsid w:val="008D7CD7"/>
    <w:rsid w:val="008E055E"/>
    <w:rsid w:val="008E103E"/>
    <w:rsid w:val="008E29E2"/>
    <w:rsid w:val="008E3A8A"/>
    <w:rsid w:val="008E4DAF"/>
    <w:rsid w:val="008E4E75"/>
    <w:rsid w:val="008E6155"/>
    <w:rsid w:val="008E651D"/>
    <w:rsid w:val="008E7800"/>
    <w:rsid w:val="008F0190"/>
    <w:rsid w:val="008F0213"/>
    <w:rsid w:val="008F30CF"/>
    <w:rsid w:val="008F3F8C"/>
    <w:rsid w:val="008F5900"/>
    <w:rsid w:val="008F6018"/>
    <w:rsid w:val="008F6770"/>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22FE"/>
    <w:rsid w:val="009126BF"/>
    <w:rsid w:val="00912B3B"/>
    <w:rsid w:val="00915DE3"/>
    <w:rsid w:val="00916A2F"/>
    <w:rsid w:val="00916BDF"/>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419F2"/>
    <w:rsid w:val="00943203"/>
    <w:rsid w:val="00943601"/>
    <w:rsid w:val="00945A70"/>
    <w:rsid w:val="009470EC"/>
    <w:rsid w:val="00947968"/>
    <w:rsid w:val="00947D9A"/>
    <w:rsid w:val="00950872"/>
    <w:rsid w:val="00951986"/>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1E84"/>
    <w:rsid w:val="00982C08"/>
    <w:rsid w:val="009853B6"/>
    <w:rsid w:val="009900FB"/>
    <w:rsid w:val="00993213"/>
    <w:rsid w:val="00993ADC"/>
    <w:rsid w:val="009945FA"/>
    <w:rsid w:val="00995031"/>
    <w:rsid w:val="009951A2"/>
    <w:rsid w:val="009A0649"/>
    <w:rsid w:val="009A1B8F"/>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360B"/>
    <w:rsid w:val="009C75DB"/>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5046"/>
    <w:rsid w:val="009E515B"/>
    <w:rsid w:val="009E522E"/>
    <w:rsid w:val="009E5E12"/>
    <w:rsid w:val="009E7726"/>
    <w:rsid w:val="009F0B84"/>
    <w:rsid w:val="009F3F09"/>
    <w:rsid w:val="009F44EF"/>
    <w:rsid w:val="009F5B3A"/>
    <w:rsid w:val="009F5C28"/>
    <w:rsid w:val="00A00EC2"/>
    <w:rsid w:val="00A018F1"/>
    <w:rsid w:val="00A01EF1"/>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AD4"/>
    <w:rsid w:val="00A202DA"/>
    <w:rsid w:val="00A216DD"/>
    <w:rsid w:val="00A2254E"/>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60F6"/>
    <w:rsid w:val="00A6027B"/>
    <w:rsid w:val="00A60FAF"/>
    <w:rsid w:val="00A61339"/>
    <w:rsid w:val="00A614A6"/>
    <w:rsid w:val="00A615A4"/>
    <w:rsid w:val="00A623D0"/>
    <w:rsid w:val="00A625E9"/>
    <w:rsid w:val="00A6397C"/>
    <w:rsid w:val="00A6505E"/>
    <w:rsid w:val="00A65379"/>
    <w:rsid w:val="00A70351"/>
    <w:rsid w:val="00A705D4"/>
    <w:rsid w:val="00A70773"/>
    <w:rsid w:val="00A7302E"/>
    <w:rsid w:val="00A73EBF"/>
    <w:rsid w:val="00A748C0"/>
    <w:rsid w:val="00A74CD3"/>
    <w:rsid w:val="00A75E18"/>
    <w:rsid w:val="00A76AB5"/>
    <w:rsid w:val="00A77C07"/>
    <w:rsid w:val="00A77E03"/>
    <w:rsid w:val="00A8097C"/>
    <w:rsid w:val="00A80AAB"/>
    <w:rsid w:val="00A81B83"/>
    <w:rsid w:val="00A82802"/>
    <w:rsid w:val="00A82E93"/>
    <w:rsid w:val="00A85917"/>
    <w:rsid w:val="00A85F9E"/>
    <w:rsid w:val="00A8741C"/>
    <w:rsid w:val="00A90804"/>
    <w:rsid w:val="00A90910"/>
    <w:rsid w:val="00A93705"/>
    <w:rsid w:val="00A93E73"/>
    <w:rsid w:val="00A94257"/>
    <w:rsid w:val="00A9514B"/>
    <w:rsid w:val="00A97553"/>
    <w:rsid w:val="00AA05BA"/>
    <w:rsid w:val="00AA305B"/>
    <w:rsid w:val="00AA34B1"/>
    <w:rsid w:val="00AA483B"/>
    <w:rsid w:val="00AA49BF"/>
    <w:rsid w:val="00AA579C"/>
    <w:rsid w:val="00AA5C73"/>
    <w:rsid w:val="00AA6987"/>
    <w:rsid w:val="00AA7920"/>
    <w:rsid w:val="00AB07AC"/>
    <w:rsid w:val="00AB1641"/>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F41"/>
    <w:rsid w:val="00AD367B"/>
    <w:rsid w:val="00AD38D6"/>
    <w:rsid w:val="00AD3A57"/>
    <w:rsid w:val="00AD6054"/>
    <w:rsid w:val="00AD64BE"/>
    <w:rsid w:val="00AD6B7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3064"/>
    <w:rsid w:val="00B1521C"/>
    <w:rsid w:val="00B15587"/>
    <w:rsid w:val="00B209BA"/>
    <w:rsid w:val="00B20B75"/>
    <w:rsid w:val="00B2138F"/>
    <w:rsid w:val="00B220CD"/>
    <w:rsid w:val="00B23FD8"/>
    <w:rsid w:val="00B24E5A"/>
    <w:rsid w:val="00B259A6"/>
    <w:rsid w:val="00B2613E"/>
    <w:rsid w:val="00B30660"/>
    <w:rsid w:val="00B3071D"/>
    <w:rsid w:val="00B3102F"/>
    <w:rsid w:val="00B33823"/>
    <w:rsid w:val="00B34607"/>
    <w:rsid w:val="00B34A86"/>
    <w:rsid w:val="00B34B40"/>
    <w:rsid w:val="00B3558E"/>
    <w:rsid w:val="00B3629B"/>
    <w:rsid w:val="00B36D35"/>
    <w:rsid w:val="00B37412"/>
    <w:rsid w:val="00B42000"/>
    <w:rsid w:val="00B42585"/>
    <w:rsid w:val="00B42A5B"/>
    <w:rsid w:val="00B43683"/>
    <w:rsid w:val="00B4590B"/>
    <w:rsid w:val="00B46E92"/>
    <w:rsid w:val="00B47CD9"/>
    <w:rsid w:val="00B505C3"/>
    <w:rsid w:val="00B52436"/>
    <w:rsid w:val="00B527A4"/>
    <w:rsid w:val="00B527ED"/>
    <w:rsid w:val="00B52A1B"/>
    <w:rsid w:val="00B5737C"/>
    <w:rsid w:val="00B60A62"/>
    <w:rsid w:val="00B60CE5"/>
    <w:rsid w:val="00B61EC2"/>
    <w:rsid w:val="00B61F59"/>
    <w:rsid w:val="00B620AD"/>
    <w:rsid w:val="00B6507A"/>
    <w:rsid w:val="00B66DD7"/>
    <w:rsid w:val="00B6777E"/>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3EC"/>
    <w:rsid w:val="00B93EBC"/>
    <w:rsid w:val="00B94387"/>
    <w:rsid w:val="00B94E90"/>
    <w:rsid w:val="00B9644E"/>
    <w:rsid w:val="00B9672A"/>
    <w:rsid w:val="00B97AE0"/>
    <w:rsid w:val="00BA0FED"/>
    <w:rsid w:val="00BA3342"/>
    <w:rsid w:val="00BA3D2A"/>
    <w:rsid w:val="00BA55F6"/>
    <w:rsid w:val="00BA5C63"/>
    <w:rsid w:val="00BA6D44"/>
    <w:rsid w:val="00BB01AD"/>
    <w:rsid w:val="00BB036E"/>
    <w:rsid w:val="00BB168B"/>
    <w:rsid w:val="00BB20B7"/>
    <w:rsid w:val="00BB2498"/>
    <w:rsid w:val="00BB34C1"/>
    <w:rsid w:val="00BB54FB"/>
    <w:rsid w:val="00BB6D11"/>
    <w:rsid w:val="00BB7518"/>
    <w:rsid w:val="00BB7C43"/>
    <w:rsid w:val="00BC11FD"/>
    <w:rsid w:val="00BC175B"/>
    <w:rsid w:val="00BC28A5"/>
    <w:rsid w:val="00BC2CEC"/>
    <w:rsid w:val="00BC2E9C"/>
    <w:rsid w:val="00BC68BE"/>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E75BB"/>
    <w:rsid w:val="00BF0D86"/>
    <w:rsid w:val="00BF10B7"/>
    <w:rsid w:val="00BF1811"/>
    <w:rsid w:val="00BF38FB"/>
    <w:rsid w:val="00BF4702"/>
    <w:rsid w:val="00BF6C5E"/>
    <w:rsid w:val="00BF7369"/>
    <w:rsid w:val="00C004BD"/>
    <w:rsid w:val="00C00BDD"/>
    <w:rsid w:val="00C00EB1"/>
    <w:rsid w:val="00C0133B"/>
    <w:rsid w:val="00C032E1"/>
    <w:rsid w:val="00C0488F"/>
    <w:rsid w:val="00C05AB2"/>
    <w:rsid w:val="00C071B6"/>
    <w:rsid w:val="00C0739E"/>
    <w:rsid w:val="00C07806"/>
    <w:rsid w:val="00C110B2"/>
    <w:rsid w:val="00C1113C"/>
    <w:rsid w:val="00C11304"/>
    <w:rsid w:val="00C13F8C"/>
    <w:rsid w:val="00C14DB5"/>
    <w:rsid w:val="00C156A5"/>
    <w:rsid w:val="00C15D05"/>
    <w:rsid w:val="00C166C2"/>
    <w:rsid w:val="00C16AB0"/>
    <w:rsid w:val="00C21DB3"/>
    <w:rsid w:val="00C21E9D"/>
    <w:rsid w:val="00C23211"/>
    <w:rsid w:val="00C23639"/>
    <w:rsid w:val="00C23C48"/>
    <w:rsid w:val="00C255BF"/>
    <w:rsid w:val="00C25849"/>
    <w:rsid w:val="00C25C14"/>
    <w:rsid w:val="00C27623"/>
    <w:rsid w:val="00C27B47"/>
    <w:rsid w:val="00C31E1E"/>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2D09"/>
    <w:rsid w:val="00C5387F"/>
    <w:rsid w:val="00C5403E"/>
    <w:rsid w:val="00C54055"/>
    <w:rsid w:val="00C54369"/>
    <w:rsid w:val="00C5465E"/>
    <w:rsid w:val="00C54C76"/>
    <w:rsid w:val="00C567D4"/>
    <w:rsid w:val="00C573D1"/>
    <w:rsid w:val="00C60681"/>
    <w:rsid w:val="00C62898"/>
    <w:rsid w:val="00C63647"/>
    <w:rsid w:val="00C63FCA"/>
    <w:rsid w:val="00C644E9"/>
    <w:rsid w:val="00C64D12"/>
    <w:rsid w:val="00C6667B"/>
    <w:rsid w:val="00C66FB1"/>
    <w:rsid w:val="00C66FB7"/>
    <w:rsid w:val="00C70C1C"/>
    <w:rsid w:val="00C70E4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456"/>
    <w:rsid w:val="00CB208D"/>
    <w:rsid w:val="00CB31BC"/>
    <w:rsid w:val="00CB3395"/>
    <w:rsid w:val="00CB5D91"/>
    <w:rsid w:val="00CB7CAE"/>
    <w:rsid w:val="00CC05E5"/>
    <w:rsid w:val="00CC12DE"/>
    <w:rsid w:val="00CC3AC7"/>
    <w:rsid w:val="00CC3D32"/>
    <w:rsid w:val="00CC4F84"/>
    <w:rsid w:val="00CC5E01"/>
    <w:rsid w:val="00CC5E20"/>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30C0"/>
    <w:rsid w:val="00D03503"/>
    <w:rsid w:val="00D03A21"/>
    <w:rsid w:val="00D06C89"/>
    <w:rsid w:val="00D06D04"/>
    <w:rsid w:val="00D11673"/>
    <w:rsid w:val="00D122D6"/>
    <w:rsid w:val="00D12686"/>
    <w:rsid w:val="00D1328F"/>
    <w:rsid w:val="00D13416"/>
    <w:rsid w:val="00D15806"/>
    <w:rsid w:val="00D171FF"/>
    <w:rsid w:val="00D1746D"/>
    <w:rsid w:val="00D1756F"/>
    <w:rsid w:val="00D17B2F"/>
    <w:rsid w:val="00D17E06"/>
    <w:rsid w:val="00D17ED4"/>
    <w:rsid w:val="00D20B8C"/>
    <w:rsid w:val="00D21C1F"/>
    <w:rsid w:val="00D24240"/>
    <w:rsid w:val="00D2450F"/>
    <w:rsid w:val="00D259F3"/>
    <w:rsid w:val="00D25DD0"/>
    <w:rsid w:val="00D25FC3"/>
    <w:rsid w:val="00D260FB"/>
    <w:rsid w:val="00D2661B"/>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DF0"/>
    <w:rsid w:val="00D53E86"/>
    <w:rsid w:val="00D568B5"/>
    <w:rsid w:val="00D60329"/>
    <w:rsid w:val="00D604C5"/>
    <w:rsid w:val="00D613CD"/>
    <w:rsid w:val="00D63376"/>
    <w:rsid w:val="00D64A5F"/>
    <w:rsid w:val="00D65321"/>
    <w:rsid w:val="00D65FD7"/>
    <w:rsid w:val="00D66FBF"/>
    <w:rsid w:val="00D72449"/>
    <w:rsid w:val="00D75037"/>
    <w:rsid w:val="00D75219"/>
    <w:rsid w:val="00D7571B"/>
    <w:rsid w:val="00D7765E"/>
    <w:rsid w:val="00D80350"/>
    <w:rsid w:val="00D811EA"/>
    <w:rsid w:val="00D816A9"/>
    <w:rsid w:val="00D8204E"/>
    <w:rsid w:val="00D82F1E"/>
    <w:rsid w:val="00D83E69"/>
    <w:rsid w:val="00D86F75"/>
    <w:rsid w:val="00D87AD4"/>
    <w:rsid w:val="00D90EB0"/>
    <w:rsid w:val="00D929DE"/>
    <w:rsid w:val="00D92A09"/>
    <w:rsid w:val="00D92F72"/>
    <w:rsid w:val="00D9470A"/>
    <w:rsid w:val="00D94C1E"/>
    <w:rsid w:val="00D9521D"/>
    <w:rsid w:val="00D952FF"/>
    <w:rsid w:val="00D95C1A"/>
    <w:rsid w:val="00D95F24"/>
    <w:rsid w:val="00DA04AD"/>
    <w:rsid w:val="00DA0C8C"/>
    <w:rsid w:val="00DA116E"/>
    <w:rsid w:val="00DA16C2"/>
    <w:rsid w:val="00DA20E9"/>
    <w:rsid w:val="00DA37DB"/>
    <w:rsid w:val="00DA3D61"/>
    <w:rsid w:val="00DA3FBA"/>
    <w:rsid w:val="00DA42B2"/>
    <w:rsid w:val="00DA54EE"/>
    <w:rsid w:val="00DA5F62"/>
    <w:rsid w:val="00DA6D52"/>
    <w:rsid w:val="00DB03FA"/>
    <w:rsid w:val="00DB0F04"/>
    <w:rsid w:val="00DB265E"/>
    <w:rsid w:val="00DB2903"/>
    <w:rsid w:val="00DB3AA4"/>
    <w:rsid w:val="00DB3EBA"/>
    <w:rsid w:val="00DB44C7"/>
    <w:rsid w:val="00DB5386"/>
    <w:rsid w:val="00DB577F"/>
    <w:rsid w:val="00DB7314"/>
    <w:rsid w:val="00DB7FEF"/>
    <w:rsid w:val="00DC00CF"/>
    <w:rsid w:val="00DC0BF9"/>
    <w:rsid w:val="00DC0D3A"/>
    <w:rsid w:val="00DC19EF"/>
    <w:rsid w:val="00DC376C"/>
    <w:rsid w:val="00DC4B2A"/>
    <w:rsid w:val="00DC52EE"/>
    <w:rsid w:val="00DC60E3"/>
    <w:rsid w:val="00DC6727"/>
    <w:rsid w:val="00DC682C"/>
    <w:rsid w:val="00DC7DED"/>
    <w:rsid w:val="00DD0B3D"/>
    <w:rsid w:val="00DD176F"/>
    <w:rsid w:val="00DD1CAF"/>
    <w:rsid w:val="00DD2DF1"/>
    <w:rsid w:val="00DD3187"/>
    <w:rsid w:val="00DD38E0"/>
    <w:rsid w:val="00DD3B1C"/>
    <w:rsid w:val="00DD4A75"/>
    <w:rsid w:val="00DD5BA9"/>
    <w:rsid w:val="00DD6290"/>
    <w:rsid w:val="00DD63CB"/>
    <w:rsid w:val="00DD6534"/>
    <w:rsid w:val="00DE069B"/>
    <w:rsid w:val="00DE23B1"/>
    <w:rsid w:val="00DE3F9B"/>
    <w:rsid w:val="00DE5838"/>
    <w:rsid w:val="00DE5A5E"/>
    <w:rsid w:val="00DE7D45"/>
    <w:rsid w:val="00DF1B88"/>
    <w:rsid w:val="00DF2002"/>
    <w:rsid w:val="00DF2AF7"/>
    <w:rsid w:val="00DF2E17"/>
    <w:rsid w:val="00DF3026"/>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22F7"/>
    <w:rsid w:val="00E13A52"/>
    <w:rsid w:val="00E1434E"/>
    <w:rsid w:val="00E14FA8"/>
    <w:rsid w:val="00E16261"/>
    <w:rsid w:val="00E16D9A"/>
    <w:rsid w:val="00E16F57"/>
    <w:rsid w:val="00E17B4B"/>
    <w:rsid w:val="00E20CD9"/>
    <w:rsid w:val="00E22D5C"/>
    <w:rsid w:val="00E23CE5"/>
    <w:rsid w:val="00E257AD"/>
    <w:rsid w:val="00E25A98"/>
    <w:rsid w:val="00E269B1"/>
    <w:rsid w:val="00E26CB9"/>
    <w:rsid w:val="00E27A3B"/>
    <w:rsid w:val="00E3097C"/>
    <w:rsid w:val="00E309D8"/>
    <w:rsid w:val="00E31DF2"/>
    <w:rsid w:val="00E33943"/>
    <w:rsid w:val="00E34565"/>
    <w:rsid w:val="00E34B83"/>
    <w:rsid w:val="00E34C3C"/>
    <w:rsid w:val="00E35164"/>
    <w:rsid w:val="00E37811"/>
    <w:rsid w:val="00E403AF"/>
    <w:rsid w:val="00E40BDF"/>
    <w:rsid w:val="00E41730"/>
    <w:rsid w:val="00E41961"/>
    <w:rsid w:val="00E41C58"/>
    <w:rsid w:val="00E42E86"/>
    <w:rsid w:val="00E43186"/>
    <w:rsid w:val="00E44927"/>
    <w:rsid w:val="00E46C03"/>
    <w:rsid w:val="00E522CA"/>
    <w:rsid w:val="00E525E5"/>
    <w:rsid w:val="00E540B1"/>
    <w:rsid w:val="00E55A11"/>
    <w:rsid w:val="00E56047"/>
    <w:rsid w:val="00E564BB"/>
    <w:rsid w:val="00E570C9"/>
    <w:rsid w:val="00E57214"/>
    <w:rsid w:val="00E57E80"/>
    <w:rsid w:val="00E6175B"/>
    <w:rsid w:val="00E62A2F"/>
    <w:rsid w:val="00E63466"/>
    <w:rsid w:val="00E6391C"/>
    <w:rsid w:val="00E639D6"/>
    <w:rsid w:val="00E65F75"/>
    <w:rsid w:val="00E66C59"/>
    <w:rsid w:val="00E72FE2"/>
    <w:rsid w:val="00E738B3"/>
    <w:rsid w:val="00E74174"/>
    <w:rsid w:val="00E7537F"/>
    <w:rsid w:val="00E75920"/>
    <w:rsid w:val="00E76471"/>
    <w:rsid w:val="00E768E2"/>
    <w:rsid w:val="00E76C55"/>
    <w:rsid w:val="00E7728A"/>
    <w:rsid w:val="00E80546"/>
    <w:rsid w:val="00E80A14"/>
    <w:rsid w:val="00E81482"/>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A0157"/>
    <w:rsid w:val="00EA032C"/>
    <w:rsid w:val="00EA12A2"/>
    <w:rsid w:val="00EA174F"/>
    <w:rsid w:val="00EA2FC2"/>
    <w:rsid w:val="00EA3612"/>
    <w:rsid w:val="00EA5A98"/>
    <w:rsid w:val="00EA6378"/>
    <w:rsid w:val="00EA717A"/>
    <w:rsid w:val="00EB1CC1"/>
    <w:rsid w:val="00EB220B"/>
    <w:rsid w:val="00EB2B53"/>
    <w:rsid w:val="00EB320C"/>
    <w:rsid w:val="00EB3A9E"/>
    <w:rsid w:val="00EB47DB"/>
    <w:rsid w:val="00EB5793"/>
    <w:rsid w:val="00EB5C78"/>
    <w:rsid w:val="00EB616B"/>
    <w:rsid w:val="00EB61FD"/>
    <w:rsid w:val="00EB70CE"/>
    <w:rsid w:val="00EB77ED"/>
    <w:rsid w:val="00EB7FF6"/>
    <w:rsid w:val="00EC0CF1"/>
    <w:rsid w:val="00EC127E"/>
    <w:rsid w:val="00EC1660"/>
    <w:rsid w:val="00EC1784"/>
    <w:rsid w:val="00EC2256"/>
    <w:rsid w:val="00EC384C"/>
    <w:rsid w:val="00EC3D77"/>
    <w:rsid w:val="00EC5CB4"/>
    <w:rsid w:val="00EC660E"/>
    <w:rsid w:val="00EC6D38"/>
    <w:rsid w:val="00EC72E0"/>
    <w:rsid w:val="00EC73AB"/>
    <w:rsid w:val="00EC790F"/>
    <w:rsid w:val="00EC7BAF"/>
    <w:rsid w:val="00ED0B22"/>
    <w:rsid w:val="00ED1103"/>
    <w:rsid w:val="00ED1A85"/>
    <w:rsid w:val="00ED1BCE"/>
    <w:rsid w:val="00ED374A"/>
    <w:rsid w:val="00ED3B73"/>
    <w:rsid w:val="00ED3CFA"/>
    <w:rsid w:val="00ED4285"/>
    <w:rsid w:val="00ED440F"/>
    <w:rsid w:val="00ED4A07"/>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7450"/>
    <w:rsid w:val="00F70B0D"/>
    <w:rsid w:val="00F72FFE"/>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601C"/>
    <w:rsid w:val="00F96A7A"/>
    <w:rsid w:val="00F96F3A"/>
    <w:rsid w:val="00F9705B"/>
    <w:rsid w:val="00F97CFC"/>
    <w:rsid w:val="00FA288A"/>
    <w:rsid w:val="00FA2964"/>
    <w:rsid w:val="00FA303C"/>
    <w:rsid w:val="00FA5D11"/>
    <w:rsid w:val="00FA67DF"/>
    <w:rsid w:val="00FA72F9"/>
    <w:rsid w:val="00FA7402"/>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CD3"/>
    <w:rsid w:val="00FD006C"/>
    <w:rsid w:val="00FD0904"/>
    <w:rsid w:val="00FD0DE7"/>
    <w:rsid w:val="00FD14E0"/>
    <w:rsid w:val="00FD1CA1"/>
    <w:rsid w:val="00FD231C"/>
    <w:rsid w:val="00FD2770"/>
    <w:rsid w:val="00FD4819"/>
    <w:rsid w:val="00FD4FC2"/>
    <w:rsid w:val="00FD5191"/>
    <w:rsid w:val="00FD5E1F"/>
    <w:rsid w:val="00FD648E"/>
    <w:rsid w:val="00FE15D2"/>
    <w:rsid w:val="00FE3327"/>
    <w:rsid w:val="00FE39F7"/>
    <w:rsid w:val="00FE46AD"/>
    <w:rsid w:val="00FE4B12"/>
    <w:rsid w:val="00FE4E96"/>
    <w:rsid w:val="00FE54FA"/>
    <w:rsid w:val="00FE6317"/>
    <w:rsid w:val="00FE6A8C"/>
    <w:rsid w:val="00FE6CF6"/>
    <w:rsid w:val="00FE79AA"/>
    <w:rsid w:val="00FF2709"/>
    <w:rsid w:val="00FF2B8F"/>
    <w:rsid w:val="00FF2D6E"/>
    <w:rsid w:val="00FF33F5"/>
    <w:rsid w:val="00FF3889"/>
    <w:rsid w:val="00FF47B9"/>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5ED1A"/>
  <w15:docId w15:val="{1193F4F1-A589-4ED9-8155-C552D37B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1">
    <w:name w:val="Grid Table 4 - Accent 31"/>
    <w:basedOn w:val="TableNormal"/>
    <w:uiPriority w:val="49"/>
    <w:rsid w:val="0098086A"/>
    <w:pPr>
      <w:spacing w:after="0" w:line="240" w:lineRule="auto"/>
    </w:pPr>
    <w:tblPr>
      <w:tblStyleRowBandSize w:val="1"/>
      <w:tblStyleColBandSize w:val="1"/>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1">
    <w:name w:val="Grid Table 4 - Accent 61"/>
    <w:basedOn w:val="TableNormal"/>
    <w:uiPriority w:val="49"/>
    <w:rsid w:val="0098086A"/>
    <w:pPr>
      <w:spacing w:after="0" w:line="240" w:lineRule="auto"/>
    </w:pPr>
    <w:tblPr>
      <w:tblStyleRowBandSize w:val="1"/>
      <w:tblStyleColBandSize w:val="1"/>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 w:type="paragraph" w:customStyle="1" w:styleId="Default">
    <w:name w:val="Default"/>
    <w:rsid w:val="00052A04"/>
    <w:pPr>
      <w:autoSpaceDE w:val="0"/>
      <w:autoSpaceDN w:val="0"/>
      <w:adjustRightInd w:val="0"/>
      <w:spacing w:after="0" w:line="240" w:lineRule="auto"/>
    </w:pPr>
    <w:rPr>
      <w:rFonts w:ascii="BDDKD P+ Tahoma" w:hAnsi="BDDKD P+ Tahoma" w:cs="BDDKD P+ Tahoma"/>
      <w:color w:val="000000"/>
      <w:sz w:val="24"/>
      <w:szCs w:val="24"/>
      <w:lang w:val="en-AU"/>
    </w:rPr>
  </w:style>
  <w:style w:type="paragraph" w:styleId="ListParagraph">
    <w:name w:val="List Paragraph"/>
    <w:basedOn w:val="Normal"/>
    <w:uiPriority w:val="34"/>
    <w:qFormat/>
    <w:rsid w:val="00256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1AA0380199494BACBB82A3603A267F" ma:contentTypeVersion="13" ma:contentTypeDescription="Create a new document." ma:contentTypeScope="" ma:versionID="3e0000058a522725304eb21b47174cbd">
  <xsd:schema xmlns:xsd="http://www.w3.org/2001/XMLSchema" xmlns:xs="http://www.w3.org/2001/XMLSchema" xmlns:p="http://schemas.microsoft.com/office/2006/metadata/properties" xmlns:ns3="0aaa196c-11e6-40e5-965a-c17d90527557" xmlns:ns4="eea59b36-ba51-41b2-bdc2-fe9804affe13" targetNamespace="http://schemas.microsoft.com/office/2006/metadata/properties" ma:root="true" ma:fieldsID="9a15c65918cf85699c68f975f3a339f6" ns3:_="" ns4:_="">
    <xsd:import namespace="0aaa196c-11e6-40e5-965a-c17d90527557"/>
    <xsd:import namespace="eea59b36-ba51-41b2-bdc2-fe9804affe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a196c-11e6-40e5-965a-c17d90527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9b36-ba51-41b2-bdc2-fe9804affe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A500B65-D61C-479D-B857-48F23CB6425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eea59b36-ba51-41b2-bdc2-fe9804affe13"/>
    <ds:schemaRef ds:uri="0aaa196c-11e6-40e5-965a-c17d90527557"/>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D08848E-12A9-4C16-BF16-8FD85D7EA69B}">
  <ds:schemaRefs>
    <ds:schemaRef ds:uri="http://schemas.microsoft.com/sharepoint/v3/contenttype/forms"/>
  </ds:schemaRefs>
</ds:datastoreItem>
</file>

<file path=customXml/itemProps3.xml><?xml version="1.0" encoding="utf-8"?>
<ds:datastoreItem xmlns:ds="http://schemas.openxmlformats.org/officeDocument/2006/customXml" ds:itemID="{0D0DC611-5175-48D6-9E70-957256CA9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a196c-11e6-40e5-965a-c17d90527557"/>
    <ds:schemaRef ds:uri="eea59b36-ba51-41b2-bdc2-fe9804aff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6F331-B6DD-4DF9-A40A-90E1B6085CFA}">
  <ds:schemaRefs>
    <ds:schemaRef ds:uri="http://www.w3.org/2001/XMLSchema"/>
  </ds:schemaRefs>
</ds:datastoreItem>
</file>

<file path=customXml/itemProps5.xml><?xml version="1.0" encoding="utf-8"?>
<ds:datastoreItem xmlns:ds="http://schemas.openxmlformats.org/officeDocument/2006/customXml" ds:itemID="{610C93C5-E599-4083-AEBF-8AB65E04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4388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Daniela Moraes</dc:creator>
  <cp:lastModifiedBy>Conrad Guimaraes</cp:lastModifiedBy>
  <cp:revision>3</cp:revision>
  <cp:lastPrinted>2016-04-17T05:54:00Z</cp:lastPrinted>
  <dcterms:created xsi:type="dcterms:W3CDTF">2020-08-04T03:58:00Z</dcterms:created>
  <dcterms:modified xsi:type="dcterms:W3CDTF">2020-08-04T03:58:00Z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0x0101009A1AA0380199494BACBB82A3603A267F</vt:lpwstr>
  </property>
</Properties>
</file>